
<file path=[Content_Types].xml><?xml version="1.0" encoding="utf-8"?>
<Types xmlns="http://schemas.openxmlformats.org/package/2006/content-types">
  <Default Extension="xml" ContentType="application/xml"/>
  <Default Extension="tiff" ContentType="image/tif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4"/>
        <w:tblW w:w="9364" w:type="dxa"/>
        <w:tblInd w:w="0" w:type="dxa"/>
        <w:tblLayout w:type="fixed"/>
        <w:tblCellMar>
          <w:top w:w="0" w:type="dxa"/>
          <w:left w:w="0" w:type="dxa"/>
          <w:bottom w:w="0" w:type="dxa"/>
          <w:right w:w="0" w:type="dxa"/>
        </w:tblCellMar>
      </w:tblPr>
      <w:tblGrid>
        <w:gridCol w:w="509"/>
        <w:gridCol w:w="8855"/>
      </w:tblGrid>
      <w:tr w14:paraId="6F82D5A6">
        <w:tc>
          <w:tcPr>
            <w:tcW w:w="509" w:type="dxa"/>
          </w:tcPr>
          <w:p w14:paraId="7FC3D5BB">
            <w:pPr>
              <w:pStyle w:val="10"/>
              <w:rPr>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I</w:t>
            </w:r>
            <w:r>
              <w:rPr>
                <w:color w:val="000000" w:themeColor="text1"/>
                <w:sz w:val="21"/>
                <w:szCs w:val="21"/>
                <w14:textFill>
                  <w14:solidFill>
                    <w14:schemeClr w14:val="tx1"/>
                  </w14:solidFill>
                </w14:textFill>
              </w:rPr>
              <w:t>CS</w:t>
            </w:r>
          </w:p>
        </w:tc>
        <w:tc>
          <w:tcPr>
            <w:tcW w:w="8855" w:type="dxa"/>
          </w:tcPr>
          <w:p w14:paraId="6D3BFFB5">
            <w:pPr>
              <w:pStyle w:val="10"/>
              <w:rPr>
                <w:color w:val="000000" w:themeColor="text1"/>
                <w:sz w:val="21"/>
                <w:szCs w:val="21"/>
                <w14:textFill>
                  <w14:solidFill>
                    <w14:schemeClr w14:val="tx1"/>
                  </w14:solidFill>
                </w14:textFill>
              </w:rPr>
            </w:pPr>
            <w:bookmarkStart w:id="0" w:name="ICS"/>
            <w:r>
              <w:rPr>
                <w:color w:val="000000" w:themeColor="text1"/>
                <w:sz w:val="21"/>
                <w:szCs w:val="21"/>
                <w14:textFill>
                  <w14:solidFill>
                    <w14:schemeClr w14:val="tx1"/>
                  </w14:solidFill>
                </w14:textFill>
              </w:rPr>
              <w:fldChar w:fldCharType="begin">
                <w:ffData>
                  <w:name w:val="ICS"/>
                  <w:enabled/>
                  <w:calcOnExit w:val="0"/>
                  <w:textInput>
                    <w:default w:val="点击此处添加ICS号"/>
                  </w:textInput>
                </w:ffData>
              </w:fldChar>
            </w:r>
            <w:r>
              <w:rPr>
                <w:color w:val="000000" w:themeColor="text1"/>
                <w:sz w:val="21"/>
                <w:szCs w:val="21"/>
                <w14:textFill>
                  <w14:solidFill>
                    <w14:schemeClr w14:val="tx1"/>
                  </w14:solidFill>
                </w14:textFill>
              </w:rPr>
              <w:instrText xml:space="preserve"> FORMTEXT </w:instrText>
            </w:r>
            <w:r>
              <w:rPr>
                <w:color w:val="000000" w:themeColor="text1"/>
                <w:sz w:val="21"/>
                <w:szCs w:val="21"/>
                <w14:textFill>
                  <w14:solidFill>
                    <w14:schemeClr w14:val="tx1"/>
                  </w14:solidFill>
                </w14:textFill>
              </w:rPr>
              <w:fldChar w:fldCharType="separate"/>
            </w:r>
            <w:r>
              <w:rPr>
                <w:color w:val="000000" w:themeColor="text1"/>
                <w:sz w:val="21"/>
                <w:szCs w:val="21"/>
                <w14:textFill>
                  <w14:solidFill>
                    <w14:schemeClr w14:val="tx1"/>
                  </w14:solidFill>
                </w14:textFill>
              </w:rPr>
              <w:t>13.030.01</w:t>
            </w:r>
            <w:r>
              <w:rPr>
                <w:color w:val="000000" w:themeColor="text1"/>
                <w:sz w:val="21"/>
                <w:szCs w:val="21"/>
                <w14:textFill>
                  <w14:solidFill>
                    <w14:schemeClr w14:val="tx1"/>
                  </w14:solidFill>
                </w14:textFill>
              </w:rPr>
              <w:fldChar w:fldCharType="end"/>
            </w:r>
            <w:bookmarkEnd w:id="0"/>
          </w:p>
        </w:tc>
      </w:tr>
      <w:tr w14:paraId="73FA28A4">
        <w:tblPrEx>
          <w:tblCellMar>
            <w:top w:w="0" w:type="dxa"/>
            <w:left w:w="0" w:type="dxa"/>
            <w:bottom w:w="0" w:type="dxa"/>
            <w:right w:w="0" w:type="dxa"/>
          </w:tblCellMar>
        </w:tblPrEx>
        <w:tc>
          <w:tcPr>
            <w:tcW w:w="509" w:type="dxa"/>
          </w:tcPr>
          <w:p w14:paraId="469F070D">
            <w:pPr>
              <w:pStyle w:val="10"/>
              <w:rPr>
                <w:rFonts w:ascii="黑体"/>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CCS </w:t>
            </w:r>
            <w:r>
              <w:rPr>
                <w:rFonts w:ascii="黑体"/>
                <w:color w:val="000000" w:themeColor="text1"/>
                <w:sz w:val="21"/>
                <w:szCs w:val="21"/>
                <w14:textFill>
                  <w14:solidFill>
                    <w14:schemeClr w14:val="tx1"/>
                  </w14:solidFill>
                </w14:textFill>
              </w:rPr>
              <w:t xml:space="preserve"> </w:t>
            </w:r>
          </w:p>
        </w:tc>
        <w:tc>
          <w:tcPr>
            <w:tcW w:w="8855" w:type="dxa"/>
          </w:tcPr>
          <w:p w14:paraId="68EB279E">
            <w:pPr>
              <w:pStyle w:val="10"/>
              <w:rPr>
                <w:color w:val="000000" w:themeColor="text1"/>
                <w:sz w:val="21"/>
                <w:szCs w:val="21"/>
                <w14:textFill>
                  <w14:solidFill>
                    <w14:schemeClr w14:val="tx1"/>
                  </w14:solidFill>
                </w14:textFill>
              </w:rPr>
            </w:pPr>
            <w:bookmarkStart w:id="1" w:name="CSDN"/>
            <w:r>
              <w:rPr>
                <w:color w:val="000000" w:themeColor="text1"/>
                <w:sz w:val="21"/>
                <w:szCs w:val="21"/>
                <w14:textFill>
                  <w14:solidFill>
                    <w14:schemeClr w14:val="tx1"/>
                  </w14:solidFill>
                </w14:textFill>
              </w:rPr>
              <w:fldChar w:fldCharType="begin">
                <w:ffData>
                  <w:name w:val="CSDN"/>
                  <w:enabled/>
                  <w:calcOnExit w:val="0"/>
                  <w:textInput>
                    <w:default w:val="点击此处添加CCS号"/>
                  </w:textInput>
                </w:ffData>
              </w:fldChar>
            </w:r>
            <w:r>
              <w:rPr>
                <w:color w:val="000000" w:themeColor="text1"/>
                <w:sz w:val="21"/>
                <w:szCs w:val="21"/>
                <w14:textFill>
                  <w14:solidFill>
                    <w14:schemeClr w14:val="tx1"/>
                  </w14:solidFill>
                </w14:textFill>
              </w:rPr>
              <w:instrText xml:space="preserve"> FORMTEXT </w:instrText>
            </w:r>
            <w:r>
              <w:rPr>
                <w:color w:val="000000" w:themeColor="text1"/>
                <w:sz w:val="21"/>
                <w:szCs w:val="21"/>
                <w14:textFill>
                  <w14:solidFill>
                    <w14:schemeClr w14:val="tx1"/>
                  </w14:solidFill>
                </w14:textFill>
              </w:rPr>
              <w:fldChar w:fldCharType="separate"/>
            </w:r>
            <w:r>
              <w:rPr>
                <w:rFonts w:ascii="Times New Roman" w:hAnsi="Times New Roman"/>
                <w:color w:val="000000" w:themeColor="text1"/>
                <w:sz w:val="21"/>
                <w:szCs w:val="21"/>
                <w14:textFill>
                  <w14:solidFill>
                    <w14:schemeClr w14:val="tx1"/>
                  </w14:solidFill>
                </w14:textFill>
              </w:rPr>
              <w:t>Z</w:t>
            </w:r>
            <w:r>
              <w:rPr>
                <w:color w:val="000000" w:themeColor="text1"/>
                <w:sz w:val="21"/>
                <w:szCs w:val="21"/>
                <w14:textFill>
                  <w14:solidFill>
                    <w14:schemeClr w14:val="tx1"/>
                  </w14:solidFill>
                </w14:textFill>
              </w:rPr>
              <w:t xml:space="preserve"> 10</w:t>
            </w:r>
            <w:r>
              <w:rPr>
                <w:color w:val="000000" w:themeColor="text1"/>
                <w:sz w:val="21"/>
                <w:szCs w:val="21"/>
                <w14:textFill>
                  <w14:solidFill>
                    <w14:schemeClr w14:val="tx1"/>
                  </w14:solidFill>
                </w14:textFill>
              </w:rPr>
              <w:fldChar w:fldCharType="end"/>
            </w:r>
            <w:bookmarkEnd w:id="1"/>
          </w:p>
        </w:tc>
      </w:tr>
    </w:tbl>
    <w:tbl>
      <w:tblPr>
        <w:tblStyle w:val="14"/>
        <w:tblpPr w:leftFromText="180" w:rightFromText="180" w:vertAnchor="text" w:horzAnchor="margin" w:tblpX="2683" w:tblpY="578"/>
        <w:tblW w:w="6661"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661"/>
      </w:tblGrid>
      <w:tr w14:paraId="1886632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661" w:type="dxa"/>
          </w:tcPr>
          <w:p w14:paraId="185A5D82">
            <w:pPr>
              <w:pStyle w:val="31"/>
              <w:framePr w:w="0" w:hRule="auto" w:wrap="auto" w:vAnchor="margin" w:hAnchor="text" w:xAlign="left" w:yAlign="inline"/>
              <w:spacing w:line="240" w:lineRule="auto"/>
              <w:rPr>
                <w:rFonts w:ascii="宋体"/>
                <w:color w:val="000000" w:themeColor="text1"/>
                <w:sz w:val="21"/>
                <w:szCs w:val="21"/>
                <w14:textFill>
                  <w14:solidFill>
                    <w14:schemeClr w14:val="tx1"/>
                  </w14:solidFill>
                </w14:textFill>
              </w:rPr>
            </w:pPr>
            <w:bookmarkStart w:id="2" w:name="_Hlk26473981"/>
            <w:r>
              <w:rPr>
                <w:color w:val="000000" w:themeColor="text1"/>
                <w:sz w:val="21"/>
                <w:szCs w:val="21"/>
                <w14:textFill>
                  <w14:solidFill>
                    <w14:schemeClr w14:val="tx1"/>
                  </w14:solidFill>
                </w14:textFill>
              </w:rPr>
              <w:drawing>
                <wp:inline distT="0" distB="0" distL="0" distR="0">
                  <wp:extent cx="795655" cy="396875"/>
                  <wp:effectExtent l="0" t="0" r="11" b="37"/>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25"/>
                          <a:stretch>
                            <a:fillRect/>
                          </a:stretch>
                        </pic:blipFill>
                        <pic:spPr>
                          <a:xfrm>
                            <a:off x="0" y="0"/>
                            <a:ext cx="796288" cy="397509"/>
                          </a:xfrm>
                          <a:prstGeom prst="rect">
                            <a:avLst/>
                          </a:prstGeom>
                          <a:noFill/>
                          <a:ln w="9525" cap="flat" cmpd="sng">
                            <a:noFill/>
                            <a:prstDash val="solid"/>
                            <a:miter/>
                          </a:ln>
                        </pic:spPr>
                      </pic:pic>
                    </a:graphicData>
                  </a:graphic>
                </wp:inline>
              </w:drawing>
            </w:r>
            <w:r>
              <w:rPr>
                <w:color w:val="000000" w:themeColor="text1"/>
                <w:sz w:val="21"/>
                <w:szCs w:val="21"/>
                <w14:textFill>
                  <w14:solidFill>
                    <w14:schemeClr w14:val="tx1"/>
                  </w14:solidFill>
                </w14:textFill>
              </w:rPr>
              <w:t xml:space="preserve"> </w:t>
            </w:r>
            <w:bookmarkStart w:id="3" w:name="c1"/>
            <w:r>
              <w:rPr>
                <w:color w:val="000000" w:themeColor="text1"/>
                <w:sz w:val="21"/>
                <w:szCs w:val="21"/>
                <w14:textFill>
                  <w14:solidFill>
                    <w14:schemeClr w14:val="tx1"/>
                  </w14:solidFill>
                </w14:textFill>
              </w:rPr>
              <w:fldChar w:fldCharType="begin">
                <w:ffData>
                  <w:name w:val="c1"/>
                  <w:enabled/>
                  <w:calcOnExit w:val="0"/>
                  <w:textInput>
                    <w:maxLength w:val="8"/>
                  </w:textInput>
                </w:ffData>
              </w:fldChar>
            </w:r>
            <w:r>
              <w:rPr>
                <w:color w:val="000000" w:themeColor="text1"/>
                <w:sz w:val="21"/>
                <w:szCs w:val="21"/>
                <w14:textFill>
                  <w14:solidFill>
                    <w14:schemeClr w14:val="tx1"/>
                  </w14:solidFill>
                </w14:textFill>
              </w:rPr>
              <w:instrText xml:space="preserve"> FORMTEXT </w:instrText>
            </w:r>
            <w:r>
              <w:rPr>
                <w:color w:val="000000" w:themeColor="text1"/>
                <w:sz w:val="21"/>
                <w:szCs w:val="21"/>
                <w14:textFill>
                  <w14:solidFill>
                    <w14:schemeClr w14:val="tx1"/>
                  </w14:solidFill>
                </w14:textFill>
              </w:rPr>
              <w:fldChar w:fldCharType="separate"/>
            </w:r>
            <w:r>
              <w:rPr>
                <w:color w:val="000000" w:themeColor="text1"/>
                <w:sz w:val="21"/>
                <w:szCs w:val="21"/>
                <w14:textFill>
                  <w14:solidFill>
                    <w14:schemeClr w14:val="tx1"/>
                  </w14:solidFill>
                </w14:textFill>
              </w:rPr>
              <w:t>34</w:t>
            </w:r>
            <w:r>
              <w:rPr>
                <w:color w:val="000000" w:themeColor="text1"/>
                <w:sz w:val="21"/>
                <w:szCs w:val="21"/>
                <w14:textFill>
                  <w14:solidFill>
                    <w14:schemeClr w14:val="tx1"/>
                  </w14:solidFill>
                </w14:textFill>
              </w:rPr>
              <w:fldChar w:fldCharType="end"/>
            </w:r>
            <w:bookmarkEnd w:id="3"/>
          </w:p>
        </w:tc>
      </w:tr>
    </w:tbl>
    <w:p w14:paraId="47574AFA">
      <w:pPr>
        <w:pStyle w:val="32"/>
        <w:framePr w:w="9639" w:h="624" w:hRule="exact" w:hSpace="181" w:vSpace="181" w:wrap="around" w:hAnchor="page" w:x="1305" w:y="2269"/>
        <w:spacing w:line="240" w:lineRule="auto"/>
        <w:ind w:firstLine="480" w:firstLineChars="100"/>
        <w:jc w:val="both"/>
        <w:rPr>
          <w:rFonts w:ascii="黑体" w:eastAsia="黑体"/>
          <w:b w:val="0"/>
          <w:bCs w:val="0"/>
          <w:color w:val="000000" w:themeColor="text1"/>
          <w:w w:val="100"/>
          <w:sz w:val="48"/>
          <w:szCs w:val="48"/>
          <w14:textFill>
            <w14:solidFill>
              <w14:schemeClr w14:val="tx1"/>
            </w14:solidFill>
          </w14:textFill>
        </w:rPr>
      </w:pPr>
      <w:r>
        <w:rPr>
          <w:rFonts w:hint="eastAsia" w:ascii="黑体" w:eastAsia="黑体"/>
          <w:b w:val="0"/>
          <w:color w:val="000000" w:themeColor="text1"/>
          <w:w w:val="100"/>
          <w:sz w:val="48"/>
          <w:szCs w:val="48"/>
          <w14:textFill>
            <w14:solidFill>
              <w14:schemeClr w14:val="tx1"/>
            </w14:solidFill>
          </w14:textFill>
        </w:rPr>
        <w:t xml:space="preserve">安 </w:t>
      </w:r>
      <w:r>
        <w:rPr>
          <w:rFonts w:ascii="黑体" w:eastAsia="黑体"/>
          <w:b w:val="0"/>
          <w:color w:val="000000" w:themeColor="text1"/>
          <w:w w:val="100"/>
          <w:sz w:val="48"/>
          <w:szCs w:val="48"/>
          <w14:textFill>
            <w14:solidFill>
              <w14:schemeClr w14:val="tx1"/>
            </w14:solidFill>
          </w14:textFill>
        </w:rPr>
        <w:t xml:space="preserve">   </w:t>
      </w:r>
      <w:r>
        <w:rPr>
          <w:rFonts w:hint="eastAsia" w:ascii="黑体" w:eastAsia="黑体"/>
          <w:b w:val="0"/>
          <w:color w:val="000000" w:themeColor="text1"/>
          <w:w w:val="100"/>
          <w:sz w:val="48"/>
          <w:szCs w:val="48"/>
          <w14:textFill>
            <w14:solidFill>
              <w14:schemeClr w14:val="tx1"/>
            </w14:solidFill>
          </w14:textFill>
        </w:rPr>
        <w:t xml:space="preserve">徽 </w:t>
      </w:r>
      <w:r>
        <w:rPr>
          <w:rFonts w:ascii="黑体" w:eastAsia="黑体"/>
          <w:b w:val="0"/>
          <w:color w:val="000000" w:themeColor="text1"/>
          <w:w w:val="100"/>
          <w:sz w:val="48"/>
          <w:szCs w:val="48"/>
          <w14:textFill>
            <w14:solidFill>
              <w14:schemeClr w14:val="tx1"/>
            </w14:solidFill>
          </w14:textFill>
        </w:rPr>
        <w:t xml:space="preserve">   </w:t>
      </w:r>
      <w:r>
        <w:rPr>
          <w:rFonts w:hint="eastAsia" w:ascii="黑体" w:eastAsia="黑体"/>
          <w:b w:val="0"/>
          <w:color w:val="000000" w:themeColor="text1"/>
          <w:w w:val="100"/>
          <w:sz w:val="48"/>
          <w:szCs w:val="48"/>
          <w14:textFill>
            <w14:solidFill>
              <w14:schemeClr w14:val="tx1"/>
            </w14:solidFill>
          </w14:textFill>
        </w:rPr>
        <w:t xml:space="preserve">省 </w:t>
      </w:r>
      <w:r>
        <w:rPr>
          <w:rFonts w:ascii="黑体" w:eastAsia="黑体"/>
          <w:b w:val="0"/>
          <w:color w:val="000000" w:themeColor="text1"/>
          <w:w w:val="100"/>
          <w:sz w:val="48"/>
          <w:szCs w:val="48"/>
          <w14:textFill>
            <w14:solidFill>
              <w14:schemeClr w14:val="tx1"/>
            </w14:solidFill>
          </w14:textFill>
        </w:rPr>
        <w:t xml:space="preserve">   </w:t>
      </w:r>
      <w:r>
        <w:rPr>
          <w:rFonts w:hint="eastAsia" w:ascii="黑体" w:eastAsia="黑体"/>
          <w:b w:val="0"/>
          <w:bCs w:val="0"/>
          <w:color w:val="000000" w:themeColor="text1"/>
          <w:w w:val="100"/>
          <w:sz w:val="48"/>
          <w:szCs w:val="48"/>
          <w14:textFill>
            <w14:solidFill>
              <w14:schemeClr w14:val="tx1"/>
            </w14:solidFill>
          </w14:textFill>
        </w:rPr>
        <w:t xml:space="preserve">地 </w:t>
      </w:r>
      <w:r>
        <w:rPr>
          <w:rFonts w:ascii="黑体" w:eastAsia="黑体"/>
          <w:b w:val="0"/>
          <w:bCs w:val="0"/>
          <w:color w:val="000000" w:themeColor="text1"/>
          <w:w w:val="100"/>
          <w:sz w:val="48"/>
          <w:szCs w:val="48"/>
          <w14:textFill>
            <w14:solidFill>
              <w14:schemeClr w14:val="tx1"/>
            </w14:solidFill>
          </w14:textFill>
        </w:rPr>
        <w:t xml:space="preserve">   </w:t>
      </w:r>
      <w:r>
        <w:rPr>
          <w:rFonts w:hint="eastAsia" w:ascii="黑体" w:eastAsia="黑体"/>
          <w:b w:val="0"/>
          <w:bCs w:val="0"/>
          <w:color w:val="000000" w:themeColor="text1"/>
          <w:w w:val="100"/>
          <w:sz w:val="48"/>
          <w:szCs w:val="48"/>
          <w14:textFill>
            <w14:solidFill>
              <w14:schemeClr w14:val="tx1"/>
            </w14:solidFill>
          </w14:textFill>
        </w:rPr>
        <w:t xml:space="preserve">方 </w:t>
      </w:r>
      <w:r>
        <w:rPr>
          <w:rFonts w:ascii="黑体" w:eastAsia="黑体"/>
          <w:b w:val="0"/>
          <w:bCs w:val="0"/>
          <w:color w:val="000000" w:themeColor="text1"/>
          <w:w w:val="100"/>
          <w:sz w:val="48"/>
          <w:szCs w:val="48"/>
          <w14:textFill>
            <w14:solidFill>
              <w14:schemeClr w14:val="tx1"/>
            </w14:solidFill>
          </w14:textFill>
        </w:rPr>
        <w:t xml:space="preserve">   </w:t>
      </w:r>
      <w:r>
        <w:rPr>
          <w:rFonts w:hint="eastAsia" w:ascii="黑体" w:eastAsia="黑体"/>
          <w:b w:val="0"/>
          <w:bCs w:val="0"/>
          <w:color w:val="000000" w:themeColor="text1"/>
          <w:w w:val="100"/>
          <w:sz w:val="48"/>
          <w:szCs w:val="48"/>
          <w14:textFill>
            <w14:solidFill>
              <w14:schemeClr w14:val="tx1"/>
            </w14:solidFill>
          </w14:textFill>
        </w:rPr>
        <w:t xml:space="preserve">标 </w:t>
      </w:r>
      <w:r>
        <w:rPr>
          <w:rFonts w:ascii="黑体" w:eastAsia="黑体"/>
          <w:b w:val="0"/>
          <w:bCs w:val="0"/>
          <w:color w:val="000000" w:themeColor="text1"/>
          <w:w w:val="100"/>
          <w:sz w:val="48"/>
          <w:szCs w:val="48"/>
          <w14:textFill>
            <w14:solidFill>
              <w14:schemeClr w14:val="tx1"/>
            </w14:solidFill>
          </w14:textFill>
        </w:rPr>
        <w:t xml:space="preserve">   </w:t>
      </w:r>
      <w:r>
        <w:rPr>
          <w:rFonts w:hint="eastAsia" w:ascii="黑体" w:eastAsia="黑体"/>
          <w:b w:val="0"/>
          <w:bCs w:val="0"/>
          <w:color w:val="000000" w:themeColor="text1"/>
          <w:w w:val="100"/>
          <w:sz w:val="48"/>
          <w:szCs w:val="48"/>
          <w14:textFill>
            <w14:solidFill>
              <w14:schemeClr w14:val="tx1"/>
            </w14:solidFill>
          </w14:textFill>
        </w:rPr>
        <w:t>准</w:t>
      </w:r>
    </w:p>
    <w:bookmarkEnd w:id="2"/>
    <w:p w14:paraId="308CD7DA">
      <w:pPr>
        <w:pStyle w:val="44"/>
        <w:framePr w:wrap="around"/>
        <w:wordWrap/>
        <w:spacing w:line="240" w:lineRule="auto"/>
        <w:rPr>
          <w:color w:val="000000" w:themeColor="text1"/>
          <w:sz w:val="21"/>
          <w:szCs w:val="21"/>
          <w:lang w:val="fr-FR"/>
          <w14:textFill>
            <w14:solidFill>
              <w14:schemeClr w14:val="tx1"/>
            </w14:solidFill>
          </w14:textFill>
        </w:rPr>
      </w:pPr>
      <w:r>
        <w:rPr>
          <w:color w:val="000000" w:themeColor="text1"/>
          <w:sz w:val="21"/>
          <w:szCs w:val="21"/>
          <w:lang w:val="fr-FR"/>
          <w14:textFill>
            <w14:solidFill>
              <w14:schemeClr w14:val="tx1"/>
            </w14:solidFill>
          </w14:textFill>
        </w:rPr>
        <w:t xml:space="preserve">DB </w:t>
      </w:r>
      <w:bookmarkStart w:id="4" w:name="文字1"/>
      <w:r>
        <w:rPr>
          <w:color w:val="000000" w:themeColor="text1"/>
          <w:sz w:val="21"/>
          <w:szCs w:val="21"/>
          <w:lang w:val="fr-FR"/>
          <w14:textFill>
            <w14:solidFill>
              <w14:schemeClr w14:val="tx1"/>
            </w14:solidFill>
          </w14:textFill>
        </w:rPr>
        <w:fldChar w:fldCharType="begin">
          <w:ffData>
            <w:name w:val="文字1"/>
            <w:enabled/>
            <w:calcOnExit w:val="0"/>
            <w:textInput>
              <w:default w:val="XX/T"/>
            </w:textInput>
          </w:ffData>
        </w:fldChar>
      </w:r>
      <w:r>
        <w:rPr>
          <w:color w:val="000000" w:themeColor="text1"/>
          <w:sz w:val="21"/>
          <w:szCs w:val="21"/>
          <w:lang w:val="fr-FR"/>
          <w14:textFill>
            <w14:solidFill>
              <w14:schemeClr w14:val="tx1"/>
            </w14:solidFill>
          </w14:textFill>
        </w:rPr>
        <w:instrText xml:space="preserve"> FORMTEXT </w:instrText>
      </w:r>
      <w:r>
        <w:rPr>
          <w:color w:val="000000" w:themeColor="text1"/>
          <w:sz w:val="21"/>
          <w:szCs w:val="21"/>
          <w14:textFill>
            <w14:solidFill>
              <w14:schemeClr w14:val="tx1"/>
            </w14:solidFill>
          </w14:textFill>
        </w:rPr>
        <w:fldChar w:fldCharType="separate"/>
      </w:r>
      <w:r>
        <w:rPr>
          <w:color w:val="000000" w:themeColor="text1"/>
          <w:sz w:val="21"/>
          <w:szCs w:val="21"/>
          <w14:textFill>
            <w14:solidFill>
              <w14:schemeClr w14:val="tx1"/>
            </w14:solidFill>
          </w14:textFill>
        </w:rPr>
        <w:t>34</w:t>
      </w:r>
      <w:r>
        <w:rPr>
          <w:color w:val="000000" w:themeColor="text1"/>
          <w:sz w:val="21"/>
          <w:szCs w:val="21"/>
          <w:lang w:val="fr-FR"/>
          <w14:textFill>
            <w14:solidFill>
              <w14:schemeClr w14:val="tx1"/>
            </w14:solidFill>
          </w14:textFill>
        </w:rPr>
        <w:t>/T</w:t>
      </w:r>
      <w:r>
        <w:rPr>
          <w:color w:val="000000" w:themeColor="text1"/>
          <w:sz w:val="21"/>
          <w:szCs w:val="21"/>
          <w14:textFill>
            <w14:solidFill>
              <w14:schemeClr w14:val="tx1"/>
            </w14:solidFill>
          </w14:textFill>
        </w:rPr>
        <w:fldChar w:fldCharType="end"/>
      </w:r>
      <w:bookmarkEnd w:id="4"/>
      <w:r>
        <w:rPr>
          <w:color w:val="000000" w:themeColor="text1"/>
          <w:sz w:val="21"/>
          <w:szCs w:val="21"/>
          <w:lang w:val="fr-FR"/>
          <w14:textFill>
            <w14:solidFill>
              <w14:schemeClr w14:val="tx1"/>
            </w14:solidFill>
          </w14:textFill>
        </w:rPr>
        <w:t xml:space="preserve"> </w:t>
      </w:r>
      <w:bookmarkStart w:id="5" w:name="NSTD_CODE_F"/>
      <w:r>
        <w:rPr>
          <w:color w:val="000000" w:themeColor="text1"/>
          <w:sz w:val="21"/>
          <w:szCs w:val="21"/>
          <w:lang w:val="fr-FR"/>
          <w14:textFill>
            <w14:solidFill>
              <w14:schemeClr w14:val="tx1"/>
            </w14:solidFill>
          </w14:textFill>
        </w:rPr>
        <w:fldChar w:fldCharType="begin">
          <w:ffData>
            <w:name w:val="NSTD_CODE_F"/>
            <w:enabled/>
            <w:calcOnExit w:val="0"/>
            <w:textInput>
              <w:default w:val="XXXX"/>
            </w:textInput>
          </w:ffData>
        </w:fldChar>
      </w:r>
      <w:r>
        <w:rPr>
          <w:color w:val="000000" w:themeColor="text1"/>
          <w:sz w:val="21"/>
          <w:szCs w:val="21"/>
          <w:lang w:val="fr-FR"/>
          <w14:textFill>
            <w14:solidFill>
              <w14:schemeClr w14:val="tx1"/>
            </w14:solidFill>
          </w14:textFill>
        </w:rPr>
        <w:instrText xml:space="preserve"> FORMTEXT </w:instrText>
      </w:r>
      <w:r>
        <w:rPr>
          <w:color w:val="000000" w:themeColor="text1"/>
          <w:sz w:val="21"/>
          <w:szCs w:val="21"/>
          <w14:textFill>
            <w14:solidFill>
              <w14:schemeClr w14:val="tx1"/>
            </w14:solidFill>
          </w14:textFill>
        </w:rPr>
        <w:fldChar w:fldCharType="separate"/>
      </w:r>
      <w:r>
        <w:rPr>
          <w:color w:val="000000" w:themeColor="text1"/>
          <w:sz w:val="21"/>
          <w:szCs w:val="21"/>
          <w:lang w:val="fr-FR"/>
          <w14:textFill>
            <w14:solidFill>
              <w14:schemeClr w14:val="tx1"/>
            </w14:solidFill>
          </w14:textFill>
        </w:rPr>
        <w:t>XXXX</w:t>
      </w:r>
      <w:r>
        <w:rPr>
          <w:color w:val="000000" w:themeColor="text1"/>
          <w:sz w:val="21"/>
          <w:szCs w:val="21"/>
          <w14:textFill>
            <w14:solidFill>
              <w14:schemeClr w14:val="tx1"/>
            </w14:solidFill>
          </w14:textFill>
        </w:rPr>
        <w:fldChar w:fldCharType="end"/>
      </w:r>
      <w:bookmarkEnd w:id="5"/>
      <w:r>
        <w:rPr>
          <w:color w:val="000000" w:themeColor="text1"/>
          <w:sz w:val="21"/>
          <w:szCs w:val="21"/>
          <w:lang w:val="fr-FR"/>
          <w14:textFill>
            <w14:solidFill>
              <w14:schemeClr w14:val="tx1"/>
            </w14:solidFill>
          </w14:textFill>
        </w:rPr>
        <w:t>—</w:t>
      </w:r>
      <w:bookmarkStart w:id="6" w:name="NSTD_CODE_B"/>
      <w:r>
        <w:rPr>
          <w:color w:val="000000" w:themeColor="text1"/>
          <w:sz w:val="21"/>
          <w:szCs w:val="21"/>
          <w14:textFill>
            <w14:solidFill>
              <w14:schemeClr w14:val="tx1"/>
            </w14:solidFill>
          </w14:textFill>
        </w:rPr>
        <w:fldChar w:fldCharType="begin">
          <w:ffData>
            <w:name w:val="NSTD_CODE_B"/>
            <w:enabled/>
            <w:calcOnExit w:val="0"/>
            <w:textInput>
              <w:default w:val="202X"/>
            </w:textInput>
          </w:ffData>
        </w:fldChar>
      </w:r>
      <w:r>
        <w:rPr>
          <w:color w:val="000000" w:themeColor="text1"/>
          <w:sz w:val="21"/>
          <w:szCs w:val="21"/>
          <w14:textFill>
            <w14:solidFill>
              <w14:schemeClr w14:val="tx1"/>
            </w14:solidFill>
          </w14:textFill>
        </w:rPr>
        <w:instrText xml:space="preserve"> FORMTEXT </w:instrText>
      </w:r>
      <w:r>
        <w:rPr>
          <w:color w:val="000000" w:themeColor="text1"/>
          <w:sz w:val="21"/>
          <w:szCs w:val="21"/>
          <w14:textFill>
            <w14:solidFill>
              <w14:schemeClr w14:val="tx1"/>
            </w14:solidFill>
          </w14:textFill>
        </w:rPr>
        <w:fldChar w:fldCharType="separate"/>
      </w:r>
      <w:r>
        <w:rPr>
          <w:color w:val="000000" w:themeColor="text1"/>
          <w:sz w:val="21"/>
          <w:szCs w:val="21"/>
          <w14:textFill>
            <w14:solidFill>
              <w14:schemeClr w14:val="tx1"/>
            </w14:solidFill>
          </w14:textFill>
        </w:rPr>
        <w:t>202X</w:t>
      </w:r>
      <w:r>
        <w:rPr>
          <w:color w:val="000000" w:themeColor="text1"/>
          <w:sz w:val="21"/>
          <w:szCs w:val="21"/>
          <w14:textFill>
            <w14:solidFill>
              <w14:schemeClr w14:val="tx1"/>
            </w14:solidFill>
          </w14:textFill>
        </w:rPr>
        <w:fldChar w:fldCharType="end"/>
      </w:r>
      <w:bookmarkEnd w:id="6"/>
    </w:p>
    <w:p w14:paraId="5060BB85">
      <w:pPr>
        <w:pStyle w:val="45"/>
        <w:framePr w:wrap="around"/>
        <w:wordWrap/>
        <w:spacing w:line="240" w:lineRule="auto"/>
        <w:rPr>
          <w:color w:val="000000" w:themeColor="text1"/>
          <w:szCs w:val="21"/>
          <w14:textFill>
            <w14:solidFill>
              <w14:schemeClr w14:val="tx1"/>
            </w14:solidFill>
          </w14:textFill>
        </w:rPr>
      </w:pPr>
      <w:bookmarkStart w:id="7" w:name="OSTD_CODE"/>
      <w:r>
        <w:rPr>
          <w:color w:val="000000" w:themeColor="text1"/>
          <w:szCs w:val="21"/>
          <w14:textFill>
            <w14:solidFill>
              <w14:schemeClr w14:val="tx1"/>
            </w14:solidFill>
          </w14:textFill>
        </w:rPr>
        <w:fldChar w:fldCharType="begin">
          <w:ffData>
            <w:name w:val="OSTD_CODE"/>
            <w:enabled/>
            <w:calcOnExit w:val="0"/>
            <w:textInput/>
          </w:ffData>
        </w:fldChar>
      </w:r>
      <w:r>
        <w:rPr>
          <w:color w:val="000000" w:themeColor="text1"/>
          <w:szCs w:val="21"/>
          <w14:textFill>
            <w14:solidFill>
              <w14:schemeClr w14:val="tx1"/>
            </w14:solidFill>
          </w14:textFill>
        </w:rPr>
        <w:instrText xml:space="preserve"> FORMTEXT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7"/>
    </w:p>
    <w:p w14:paraId="679739B6">
      <w:pPr>
        <w:spacing w:line="240" w:lineRule="auto"/>
        <w:ind w:firstLine="420"/>
        <w:rPr>
          <w:rFonts w:ascii="黑体" w:eastAsia="黑体"/>
          <w:color w:val="000000" w:themeColor="text1"/>
          <w:kern w:val="0"/>
          <w:sz w:val="21"/>
          <w:szCs w:val="21"/>
          <w14:textFill>
            <w14:solidFill>
              <w14:schemeClr w14:val="tx1"/>
            </w14:solidFill>
          </w14:textFill>
        </w:rPr>
      </w:pPr>
      <w:r>
        <w:rPr>
          <w:rFonts w:ascii="黑体" w:eastAsia="黑体"/>
          <w:color w:val="000000" w:themeColor="text1"/>
          <w:kern w:val="0"/>
          <w:sz w:val="21"/>
          <w:szCs w:val="21"/>
          <w14:textFill>
            <w14:solidFill>
              <w14:schemeClr w14:val="tx1"/>
            </w14:solidFill>
          </w14:textFill>
        </w:rPr>
        <mc:AlternateContent>
          <mc:Choice Requires="wps">
            <w:drawing>
              <wp:anchor distT="0" distB="0" distL="113665" distR="113665" simplePos="0" relativeHeight="251659264" behindDoc="0" locked="0" layoutInCell="1" allowOverlap="0">
                <wp:simplePos x="0" y="0"/>
                <wp:positionH relativeFrom="page">
                  <wp:posOffset>899795</wp:posOffset>
                </wp:positionH>
                <wp:positionV relativeFrom="page">
                  <wp:posOffset>2700020</wp:posOffset>
                </wp:positionV>
                <wp:extent cx="6120130" cy="635"/>
                <wp:effectExtent l="0" t="0" r="0" b="0"/>
                <wp:wrapNone/>
                <wp:docPr id="4" name="直接连接符 73"/>
                <wp:cNvGraphicFramePr/>
                <a:graphic xmlns:a="http://schemas.openxmlformats.org/drawingml/2006/main">
                  <a:graphicData uri="http://schemas.microsoft.com/office/word/2010/wordprocessingShape">
                    <wps:wsp>
                      <wps:cNvCnPr/>
                      <wps:spPr>
                        <a:xfrm>
                          <a:off x="0" y="0"/>
                          <a:ext cx="6120130" cy="952"/>
                        </a:xfrm>
                        <a:prstGeom prst="line">
                          <a:avLst/>
                        </a:prstGeom>
                        <a:noFill/>
                        <a:ln w="9525" cap="flat" cmpd="sng">
                          <a:solidFill>
                            <a:srgbClr val="000000"/>
                          </a:solidFill>
                          <a:prstDash val="solid"/>
                          <a:round/>
                        </a:ln>
                      </wps:spPr>
                      <wps:bodyPr/>
                    </wps:wsp>
                  </a:graphicData>
                </a:graphic>
              </wp:anchor>
            </w:drawing>
          </mc:Choice>
          <mc:Fallback>
            <w:pict>
              <v:line id="直接连接符 73" o:spid="_x0000_s1026" o:spt="20" style="position:absolute;left:0pt;margin-left:70.85pt;margin-top:212.6pt;height:0.05pt;width:481.9pt;mso-position-horizontal-relative:page;mso-position-vertical-relative:page;z-index:251659264;mso-width-relative:page;mso-height-relative:page;" filled="f" stroked="t" coordsize="21600,21600" o:allowoverlap="f" o:gfxdata="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MhgrIdgAAAAMAQAADwAAAAAAAAAB&#10;ACAAAAAiAAAAZHJzL2Rvd25yZXYueG1sUEsBAhQAFAAAAAgAh07iQKxVWQXXAQAAnAMAAA4AAAAA&#10;AAAAAQAgAAAAJwEAAGRycy9lMm9Eb2MueG1sUEsFBgAAAAAGAAYAWQEAAHAFAAAAAA==&#10;">
                <v:fill on="f" focussize="0,0"/>
                <v:stroke color="#000000" joinstyle="round"/>
                <v:imagedata o:title=""/>
                <o:lock v:ext="edit" aspectratio="f"/>
              </v:line>
            </w:pict>
          </mc:Fallback>
        </mc:AlternateContent>
      </w:r>
    </w:p>
    <w:p w14:paraId="20EA82A1">
      <w:pPr>
        <w:pStyle w:val="32"/>
        <w:framePr w:w="9639" w:h="6976" w:hRule="exact" w:wrap="around" w:hAnchor="page" w:y="6408"/>
        <w:spacing w:line="240" w:lineRule="auto"/>
        <w:ind w:firstLine="482"/>
        <w:jc w:val="center"/>
        <w:rPr>
          <w:rFonts w:ascii="黑体" w:eastAsia="黑体"/>
          <w:b w:val="0"/>
          <w:bCs w:val="0"/>
          <w:color w:val="000000" w:themeColor="text1"/>
          <w:w w:val="100"/>
          <w:sz w:val="21"/>
          <w:szCs w:val="21"/>
          <w14:textFill>
            <w14:solidFill>
              <w14:schemeClr w14:val="tx1"/>
            </w14:solidFill>
          </w14:textFill>
        </w:rPr>
      </w:pPr>
    </w:p>
    <w:p w14:paraId="4D28E81E">
      <w:pPr>
        <w:pStyle w:val="46"/>
        <w:framePr w:w="9971" w:h="6974" w:hRule="exact" w:wrap="around" w:x="1081" w:anchorLock="1"/>
        <w:spacing w:line="240" w:lineRule="auto"/>
        <w:rPr>
          <w:color w:val="000000" w:themeColor="text1"/>
          <w:sz w:val="48"/>
          <w:szCs w:val="52"/>
          <w14:textFill>
            <w14:solidFill>
              <w14:schemeClr w14:val="tx1"/>
            </w14:solidFill>
          </w14:textFill>
        </w:rPr>
      </w:pPr>
      <w:r>
        <w:rPr>
          <w:color w:val="000000" w:themeColor="text1"/>
          <w:sz w:val="48"/>
          <w:szCs w:val="52"/>
          <w14:textFill>
            <w14:solidFill>
              <w14:schemeClr w14:val="tx1"/>
            </w14:solidFill>
          </w14:textFill>
        </w:rPr>
        <w:fldChar w:fldCharType="begin">
          <w:ffData>
            <w:name w:val="CSTD_NAME"/>
            <w:enabled/>
            <w:calcOnExit w:val="0"/>
            <w:textInput>
              <w:default w:val="城市、乡镇“污废水零直排区”建设技术规范     第 3 部分：设计与施工"/>
            </w:textInput>
          </w:ffData>
        </w:fldChar>
      </w:r>
      <w:bookmarkStart w:id="8" w:name="CSTD_NAME"/>
      <w:r>
        <w:rPr>
          <w:color w:val="000000" w:themeColor="text1"/>
          <w:sz w:val="48"/>
          <w:szCs w:val="52"/>
          <w14:textFill>
            <w14:solidFill>
              <w14:schemeClr w14:val="tx1"/>
            </w14:solidFill>
          </w14:textFill>
        </w:rPr>
        <w:instrText xml:space="preserve"> FORMTEXT </w:instrText>
      </w:r>
      <w:r>
        <w:rPr>
          <w:color w:val="000000" w:themeColor="text1"/>
          <w:sz w:val="48"/>
          <w:szCs w:val="52"/>
          <w14:textFill>
            <w14:solidFill>
              <w14:schemeClr w14:val="tx1"/>
            </w14:solidFill>
          </w14:textFill>
        </w:rPr>
        <w:fldChar w:fldCharType="separate"/>
      </w:r>
      <w:r>
        <w:rPr>
          <w:rFonts w:hint="eastAsia"/>
          <w:color w:val="000000" w:themeColor="text1"/>
          <w:sz w:val="48"/>
          <w:szCs w:val="52"/>
          <w14:textFill>
            <w14:solidFill>
              <w14:schemeClr w14:val="tx1"/>
            </w14:solidFill>
          </w14:textFill>
        </w:rPr>
        <w:t>城市、乡镇“污废水零直排区”建设技术规范     第 3 部分：设计与施工</w:t>
      </w:r>
      <w:r>
        <w:rPr>
          <w:color w:val="000000" w:themeColor="text1"/>
          <w:sz w:val="48"/>
          <w:szCs w:val="52"/>
          <w14:textFill>
            <w14:solidFill>
              <w14:schemeClr w14:val="tx1"/>
            </w14:solidFill>
          </w14:textFill>
        </w:rPr>
        <w:fldChar w:fldCharType="end"/>
      </w:r>
      <w:bookmarkEnd w:id="8"/>
    </w:p>
    <w:p w14:paraId="5F5DBC7C">
      <w:pPr>
        <w:framePr w:w="9971" w:h="6974" w:hRule="exact" w:wrap="around" w:vAnchor="page" w:hAnchor="page" w:x="1081" w:y="6408" w:anchorLock="1"/>
        <w:spacing w:line="240" w:lineRule="auto"/>
        <w:ind w:firstLine="0" w:firstLineChars="0"/>
        <w:jc w:val="center"/>
        <w:rPr>
          <w:color w:val="000000" w:themeColor="text1"/>
          <w:sz w:val="28"/>
          <w:szCs w:val="28"/>
          <w14:textFill>
            <w14:solidFill>
              <w14:schemeClr w14:val="tx1"/>
            </w14:solidFill>
          </w14:textFill>
        </w:rPr>
      </w:pPr>
    </w:p>
    <w:p w14:paraId="5A7F8CCA">
      <w:pPr>
        <w:framePr w:w="9971" w:h="6974" w:hRule="exact" w:wrap="around" w:vAnchor="page" w:hAnchor="page" w:x="1081" w:y="6408" w:anchorLock="1"/>
        <w:spacing w:line="240" w:lineRule="auto"/>
        <w:ind w:firstLine="0" w:firstLineChars="0"/>
        <w:jc w:val="center"/>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Technical specifications for the construction of “non-direct sewage</w:t>
      </w:r>
    </w:p>
    <w:p w14:paraId="410BD502">
      <w:pPr>
        <w:framePr w:w="9971" w:h="6974" w:hRule="exact" w:wrap="around" w:vAnchor="page" w:hAnchor="page" w:x="1081" w:y="6408" w:anchorLock="1"/>
        <w:spacing w:line="240" w:lineRule="auto"/>
        <w:ind w:firstLine="0" w:firstLineChars="0"/>
        <w:jc w:val="center"/>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 xml:space="preserve">discharge area” in </w:t>
      </w:r>
      <w:r>
        <w:rPr>
          <w:rFonts w:hint="eastAsia" w:ascii="Times New Roman" w:hAnsi="Times New Roman"/>
          <w:color w:val="000000" w:themeColor="text1"/>
          <w:sz w:val="28"/>
          <w:szCs w:val="28"/>
          <w14:textFill>
            <w14:solidFill>
              <w14:schemeClr w14:val="tx1"/>
            </w14:solidFill>
          </w14:textFill>
        </w:rPr>
        <w:t>cities and towns</w:t>
      </w:r>
    </w:p>
    <w:p w14:paraId="2D2996CC">
      <w:pPr>
        <w:framePr w:w="9971" w:h="6974" w:hRule="exact" w:wrap="around" w:vAnchor="page" w:hAnchor="page" w:x="1081" w:y="6408" w:anchorLock="1"/>
        <w:spacing w:line="240" w:lineRule="auto"/>
        <w:ind w:firstLine="0" w:firstLineChars="0"/>
        <w:jc w:val="center"/>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 w:val="28"/>
          <w:szCs w:val="28"/>
          <w14:textFill>
            <w14:solidFill>
              <w14:schemeClr w14:val="tx1"/>
            </w14:solidFill>
          </w14:textFill>
        </w:rPr>
        <w:t>Part 3:</w:t>
      </w:r>
      <w:r>
        <w:rPr>
          <w:color w:val="000000" w:themeColor="text1"/>
          <w:sz w:val="28"/>
          <w:szCs w:val="28"/>
          <w14:textFill>
            <w14:solidFill>
              <w14:schemeClr w14:val="tx1"/>
            </w14:solidFill>
          </w14:textFill>
        </w:rPr>
        <w:t xml:space="preserve"> </w:t>
      </w:r>
      <w:r>
        <w:rPr>
          <w:rFonts w:ascii="Times New Roman" w:hAnsi="Times New Roman"/>
          <w:color w:val="000000" w:themeColor="text1"/>
          <w:sz w:val="28"/>
          <w:szCs w:val="28"/>
          <w14:textFill>
            <w14:solidFill>
              <w14:schemeClr w14:val="tx1"/>
            </w14:solidFill>
          </w14:textFill>
        </w:rPr>
        <w:t>design and construction</w:t>
      </w:r>
    </w:p>
    <w:p w14:paraId="1ED50A85">
      <w:pPr>
        <w:framePr w:w="9971" w:h="6974" w:hRule="exact" w:wrap="around" w:vAnchor="page" w:hAnchor="page" w:x="1081" w:y="6408" w:anchorLock="1"/>
        <w:spacing w:line="240" w:lineRule="auto"/>
        <w:ind w:firstLine="0" w:firstLineChars="0"/>
        <w:rPr>
          <w:color w:val="000000" w:themeColor="text1"/>
          <w:sz w:val="28"/>
          <w:szCs w:val="28"/>
          <w14:textFill>
            <w14:solidFill>
              <w14:schemeClr w14:val="tx1"/>
            </w14:solidFill>
          </w14:textFill>
        </w:rPr>
      </w:pPr>
    </w:p>
    <w:p w14:paraId="5C77BE34">
      <w:pPr>
        <w:pStyle w:val="40"/>
        <w:framePr w:w="9971" w:h="6974" w:hRule="exact" w:wrap="around" w:vAnchor="page" w:hAnchor="page" w:x="1081" w:y="6408" w:anchorLock="1"/>
        <w:spacing w:line="240" w:lineRule="auto"/>
        <w:textAlignment w:val="bottom"/>
        <w:rPr>
          <w:color w:val="000000" w:themeColor="text1"/>
          <w:szCs w:val="28"/>
          <w14:textFill>
            <w14:solidFill>
              <w14:schemeClr w14:val="tx1"/>
            </w14:solidFill>
          </w14:textFill>
        </w:rPr>
      </w:pPr>
      <w:r>
        <w:rPr>
          <w:color w:val="000000" w:themeColor="text1"/>
          <w:szCs w:val="28"/>
          <w14:textFill>
            <w14:solidFill>
              <w14:schemeClr w14:val="tx1"/>
            </w14:solidFill>
          </w14:textFill>
        </w:rPr>
        <w:fldChar w:fldCharType="begin">
          <w:ffData>
            <w:name w:val="下拉1"/>
            <w:enabled/>
            <w:calcOnExit/>
            <w:ddList>
              <w:listEntry w:val="草案版次选择"/>
              <w:listEntry w:val="（工作组讨论稿）"/>
              <w:listEntry w:val="（送审讨论稿）"/>
              <w:listEntry w:val="（征求意见稿）"/>
              <w:listEntry w:val="（送审稿）"/>
              <w:listEntry w:val="（报批稿）"/>
            </w:ddList>
          </w:ffData>
        </w:fldChar>
      </w:r>
      <w:bookmarkStart w:id="9" w:name="下拉1"/>
      <w:r>
        <w:rPr>
          <w:color w:val="000000" w:themeColor="text1"/>
          <w:szCs w:val="28"/>
          <w14:textFill>
            <w14:solidFill>
              <w14:schemeClr w14:val="tx1"/>
            </w14:solidFill>
          </w14:textFill>
        </w:rPr>
        <w:instrText xml:space="preserve"> FORMDROPDOWN </w:instrText>
      </w:r>
      <w:r>
        <w:rPr>
          <w:color w:val="000000" w:themeColor="text1"/>
          <w:szCs w:val="28"/>
          <w14:textFill>
            <w14:solidFill>
              <w14:schemeClr w14:val="tx1"/>
            </w14:solidFill>
          </w14:textFill>
        </w:rPr>
        <w:fldChar w:fldCharType="separate"/>
      </w:r>
      <w:r>
        <w:rPr>
          <w:color w:val="000000" w:themeColor="text1"/>
          <w:szCs w:val="28"/>
          <w14:textFill>
            <w14:solidFill>
              <w14:schemeClr w14:val="tx1"/>
            </w14:solidFill>
          </w14:textFill>
        </w:rPr>
        <w:fldChar w:fldCharType="end"/>
      </w:r>
      <w:bookmarkEnd w:id="9"/>
    </w:p>
    <w:p w14:paraId="774884EF">
      <w:pPr>
        <w:pStyle w:val="40"/>
        <w:framePr w:w="9971" w:h="6974" w:hRule="exact" w:wrap="around" w:vAnchor="page" w:hAnchor="page" w:x="1081" w:y="6408" w:anchorLock="1"/>
        <w:spacing w:before="180" w:line="240" w:lineRule="auto"/>
        <w:ind w:firstLine="420"/>
        <w:textAlignment w:val="bottom"/>
        <w:rPr>
          <w:color w:val="000000" w:themeColor="text1"/>
          <w:szCs w:val="28"/>
          <w14:textFill>
            <w14:solidFill>
              <w14:schemeClr w14:val="tx1"/>
            </w14:solidFill>
          </w14:textFill>
        </w:rPr>
      </w:pPr>
      <w:bookmarkStart w:id="10" w:name="CMPLSH_DATE"/>
      <w:r>
        <w:rPr>
          <w:color w:val="000000" w:themeColor="text1"/>
          <w:szCs w:val="28"/>
          <w14:textFill>
            <w14:solidFill>
              <w14:schemeClr w14:val="tx1"/>
            </w14:solidFill>
          </w14:textFill>
        </w:rPr>
        <w:fldChar w:fldCharType="begin">
          <w:ffData>
            <w:name w:val="CMPLSH_DATE"/>
            <w:enabled/>
            <w:calcOnExit w:val="0"/>
            <w:textInput/>
          </w:ffData>
        </w:fldChar>
      </w:r>
      <w:r>
        <w:rPr>
          <w:color w:val="000000" w:themeColor="text1"/>
          <w:szCs w:val="28"/>
          <w14:textFill>
            <w14:solidFill>
              <w14:schemeClr w14:val="tx1"/>
            </w14:solidFill>
          </w14:textFill>
        </w:rPr>
        <w:instrText xml:space="preserve"> FORMTEXT </w:instrText>
      </w:r>
      <w:r>
        <w:rPr>
          <w:color w:val="000000" w:themeColor="text1"/>
          <w:szCs w:val="28"/>
          <w14:textFill>
            <w14:solidFill>
              <w14:schemeClr w14:val="tx1"/>
            </w14:solidFill>
          </w14:textFill>
        </w:rPr>
        <w:fldChar w:fldCharType="separate"/>
      </w:r>
      <w:r>
        <w:rPr>
          <w:color w:val="000000" w:themeColor="text1"/>
          <w:szCs w:val="28"/>
          <w14:textFill>
            <w14:solidFill>
              <w14:schemeClr w14:val="tx1"/>
            </w14:solidFill>
          </w14:textFill>
        </w:rPr>
        <w:t>     </w:t>
      </w:r>
      <w:r>
        <w:rPr>
          <w:color w:val="000000" w:themeColor="text1"/>
          <w:szCs w:val="28"/>
          <w14:textFill>
            <w14:solidFill>
              <w14:schemeClr w14:val="tx1"/>
            </w14:solidFill>
          </w14:textFill>
        </w:rPr>
        <w:fldChar w:fldCharType="end"/>
      </w:r>
      <w:bookmarkEnd w:id="10"/>
    </w:p>
    <w:p w14:paraId="0BE7F23F">
      <w:pPr>
        <w:pStyle w:val="40"/>
        <w:framePr w:w="9971" w:h="6974" w:hRule="exact" w:wrap="around" w:vAnchor="page" w:hAnchor="page" w:x="1081" w:y="6408" w:anchorLock="1"/>
        <w:spacing w:before="720" w:beforeLines="300" w:after="72" w:afterLines="30" w:line="240" w:lineRule="auto"/>
        <w:ind w:firstLine="422"/>
        <w:textAlignment w:val="bottom"/>
        <w:rPr>
          <w:b/>
          <w:color w:val="000000" w:themeColor="text1"/>
          <w:szCs w:val="28"/>
          <w14:textFill>
            <w14:solidFill>
              <w14:schemeClr w14:val="tx1"/>
            </w14:solidFill>
          </w14:textFill>
        </w:rPr>
      </w:pPr>
      <w:bookmarkStart w:id="11" w:name="下拉2"/>
      <w:r>
        <w:rPr>
          <w:b/>
          <w:color w:val="000000" w:themeColor="text1"/>
          <w:szCs w:val="28"/>
          <w14:textFill>
            <w14:solidFill>
              <w14:schemeClr w14:val="tx1"/>
            </w14:solidFill>
          </w14:textFill>
        </w:rPr>
        <w:fldChar w:fldCharType="begin">
          <w:ffData>
            <w:name w:val="下拉2"/>
            <w:enabled/>
            <w:calcOnExit w:val="0"/>
            <w:ddList>
              <w:listEntry w:val=" "/>
              <w:listEntry w:val="在提交反馈意见时，请将您知道的相关专利连同支持性文件一并附上。"/>
            </w:ddList>
          </w:ffData>
        </w:fldChar>
      </w:r>
      <w:r>
        <w:rPr>
          <w:b/>
          <w:color w:val="000000" w:themeColor="text1"/>
          <w:szCs w:val="28"/>
          <w14:textFill>
            <w14:solidFill>
              <w14:schemeClr w14:val="tx1"/>
            </w14:solidFill>
          </w14:textFill>
        </w:rPr>
        <w:instrText xml:space="preserve"> FORMDROPDOWN </w:instrText>
      </w:r>
      <w:r>
        <w:rPr>
          <w:b/>
          <w:color w:val="000000" w:themeColor="text1"/>
          <w:szCs w:val="28"/>
          <w14:textFill>
            <w14:solidFill>
              <w14:schemeClr w14:val="tx1"/>
            </w14:solidFill>
          </w14:textFill>
        </w:rPr>
        <w:fldChar w:fldCharType="separate"/>
      </w:r>
      <w:r>
        <w:rPr>
          <w:b/>
          <w:color w:val="000000" w:themeColor="text1"/>
          <w:szCs w:val="28"/>
          <w14:textFill>
            <w14:solidFill>
              <w14:schemeClr w14:val="tx1"/>
            </w14:solidFill>
          </w14:textFill>
        </w:rPr>
        <w:fldChar w:fldCharType="end"/>
      </w:r>
      <w:bookmarkEnd w:id="11"/>
    </w:p>
    <w:p w14:paraId="3837B44C">
      <w:pPr>
        <w:pStyle w:val="42"/>
        <w:framePr w:wrap="around" w:y="14176"/>
        <w:rPr>
          <w:color w:val="000000" w:themeColor="text1"/>
          <w:szCs w:val="28"/>
          <w14:textFill>
            <w14:solidFill>
              <w14:schemeClr w14:val="tx1"/>
            </w14:solidFill>
          </w14:textFill>
        </w:rPr>
      </w:pPr>
      <w:r>
        <w:rPr>
          <w:rFonts w:ascii="黑体"/>
          <w:color w:val="000000" w:themeColor="text1"/>
          <w:szCs w:val="28"/>
          <w14:textFill>
            <w14:solidFill>
              <w14:schemeClr w14:val="tx1"/>
            </w14:solidFill>
          </w14:textFill>
        </w:rPr>
        <w:t>202X</w:t>
      </w:r>
      <w:r>
        <w:rPr>
          <w:color w:val="000000" w:themeColor="text1"/>
          <w:szCs w:val="28"/>
          <w14:textFill>
            <w14:solidFill>
              <w14:schemeClr w14:val="tx1"/>
            </w14:solidFill>
          </w14:textFill>
        </w:rPr>
        <w:t xml:space="preserve"> </w:t>
      </w:r>
      <w:r>
        <w:rPr>
          <w:rFonts w:ascii="黑体"/>
          <w:color w:val="000000" w:themeColor="text1"/>
          <w:szCs w:val="28"/>
          <w14:textFill>
            <w14:solidFill>
              <w14:schemeClr w14:val="tx1"/>
            </w14:solidFill>
          </w14:textFill>
        </w:rPr>
        <w:t>-</w:t>
      </w:r>
      <w:r>
        <w:rPr>
          <w:color w:val="000000" w:themeColor="text1"/>
          <w:szCs w:val="28"/>
          <w14:textFill>
            <w14:solidFill>
              <w14:schemeClr w14:val="tx1"/>
            </w14:solidFill>
          </w14:textFill>
        </w:rPr>
        <w:t xml:space="preserve"> </w:t>
      </w:r>
      <w:bookmarkStart w:id="12" w:name="PLSH_DATE_M"/>
      <w:r>
        <w:rPr>
          <w:rFonts w:ascii="黑体"/>
          <w:color w:val="000000" w:themeColor="text1"/>
          <w:szCs w:val="28"/>
          <w14:textFill>
            <w14:solidFill>
              <w14:schemeClr w14:val="tx1"/>
            </w14:solidFill>
          </w14:textFill>
        </w:rPr>
        <w:fldChar w:fldCharType="begin">
          <w:ffData>
            <w:name w:val="PLSH_DATE_M"/>
            <w:enabled/>
            <w:calcOnExit w:val="0"/>
            <w:textInput>
              <w:default w:val="XX"/>
              <w:maxLength w:val="2"/>
            </w:textInput>
          </w:ffData>
        </w:fldChar>
      </w:r>
      <w:r>
        <w:rPr>
          <w:rFonts w:ascii="黑体"/>
          <w:color w:val="000000" w:themeColor="text1"/>
          <w:szCs w:val="28"/>
          <w14:textFill>
            <w14:solidFill>
              <w14:schemeClr w14:val="tx1"/>
            </w14:solidFill>
          </w14:textFill>
        </w:rPr>
        <w:instrText xml:space="preserve"> FORMTEXT </w:instrText>
      </w:r>
      <w:r>
        <w:rPr>
          <w:rFonts w:ascii="黑体"/>
          <w:color w:val="000000" w:themeColor="text1"/>
          <w:szCs w:val="28"/>
          <w14:textFill>
            <w14:solidFill>
              <w14:schemeClr w14:val="tx1"/>
            </w14:solidFill>
          </w14:textFill>
        </w:rPr>
        <w:fldChar w:fldCharType="separate"/>
      </w:r>
      <w:r>
        <w:rPr>
          <w:rFonts w:ascii="黑体"/>
          <w:color w:val="000000" w:themeColor="text1"/>
          <w:szCs w:val="28"/>
          <w14:textFill>
            <w14:solidFill>
              <w14:schemeClr w14:val="tx1"/>
            </w14:solidFill>
          </w14:textFill>
        </w:rPr>
        <w:t>XX</w:t>
      </w:r>
      <w:r>
        <w:rPr>
          <w:rFonts w:ascii="黑体"/>
          <w:color w:val="000000" w:themeColor="text1"/>
          <w:szCs w:val="28"/>
          <w14:textFill>
            <w14:solidFill>
              <w14:schemeClr w14:val="tx1"/>
            </w14:solidFill>
          </w14:textFill>
        </w:rPr>
        <w:fldChar w:fldCharType="end"/>
      </w:r>
      <w:bookmarkEnd w:id="12"/>
      <w:r>
        <w:rPr>
          <w:color w:val="000000" w:themeColor="text1"/>
          <w:szCs w:val="28"/>
          <w14:textFill>
            <w14:solidFill>
              <w14:schemeClr w14:val="tx1"/>
            </w14:solidFill>
          </w14:textFill>
        </w:rPr>
        <w:t xml:space="preserve"> </w:t>
      </w:r>
      <w:r>
        <w:rPr>
          <w:rFonts w:ascii="黑体"/>
          <w:color w:val="000000" w:themeColor="text1"/>
          <w:szCs w:val="28"/>
          <w14:textFill>
            <w14:solidFill>
              <w14:schemeClr w14:val="tx1"/>
            </w14:solidFill>
          </w14:textFill>
        </w:rPr>
        <w:t>-</w:t>
      </w:r>
      <w:r>
        <w:rPr>
          <w:color w:val="000000" w:themeColor="text1"/>
          <w:szCs w:val="28"/>
          <w14:textFill>
            <w14:solidFill>
              <w14:schemeClr w14:val="tx1"/>
            </w14:solidFill>
          </w14:textFill>
        </w:rPr>
        <w:t xml:space="preserve"> </w:t>
      </w:r>
      <w:bookmarkStart w:id="13" w:name="PLSH_DATE_D"/>
      <w:r>
        <w:rPr>
          <w:rFonts w:ascii="黑体"/>
          <w:color w:val="000000" w:themeColor="text1"/>
          <w:szCs w:val="28"/>
          <w14:textFill>
            <w14:solidFill>
              <w14:schemeClr w14:val="tx1"/>
            </w14:solidFill>
          </w14:textFill>
        </w:rPr>
        <w:fldChar w:fldCharType="begin">
          <w:ffData>
            <w:name w:val="PLSH_DATE_D"/>
            <w:enabled/>
            <w:calcOnExit w:val="0"/>
            <w:textInput>
              <w:default w:val="XX"/>
              <w:maxLength w:val="2"/>
            </w:textInput>
          </w:ffData>
        </w:fldChar>
      </w:r>
      <w:r>
        <w:rPr>
          <w:rFonts w:ascii="黑体"/>
          <w:color w:val="000000" w:themeColor="text1"/>
          <w:szCs w:val="28"/>
          <w14:textFill>
            <w14:solidFill>
              <w14:schemeClr w14:val="tx1"/>
            </w14:solidFill>
          </w14:textFill>
        </w:rPr>
        <w:instrText xml:space="preserve"> FORMTEXT </w:instrText>
      </w:r>
      <w:r>
        <w:rPr>
          <w:rFonts w:ascii="黑体"/>
          <w:color w:val="000000" w:themeColor="text1"/>
          <w:szCs w:val="28"/>
          <w14:textFill>
            <w14:solidFill>
              <w14:schemeClr w14:val="tx1"/>
            </w14:solidFill>
          </w14:textFill>
        </w:rPr>
        <w:fldChar w:fldCharType="separate"/>
      </w:r>
      <w:r>
        <w:rPr>
          <w:rFonts w:ascii="黑体"/>
          <w:color w:val="000000" w:themeColor="text1"/>
          <w:szCs w:val="28"/>
          <w14:textFill>
            <w14:solidFill>
              <w14:schemeClr w14:val="tx1"/>
            </w14:solidFill>
          </w14:textFill>
        </w:rPr>
        <w:t>XX</w:t>
      </w:r>
      <w:r>
        <w:rPr>
          <w:rFonts w:ascii="黑体"/>
          <w:color w:val="000000" w:themeColor="text1"/>
          <w:szCs w:val="28"/>
          <w14:textFill>
            <w14:solidFill>
              <w14:schemeClr w14:val="tx1"/>
            </w14:solidFill>
          </w14:textFill>
        </w:rPr>
        <w:fldChar w:fldCharType="end"/>
      </w:r>
      <w:bookmarkEnd w:id="13"/>
      <w:r>
        <w:rPr>
          <w:rFonts w:hint="eastAsia"/>
          <w:color w:val="000000" w:themeColor="text1"/>
          <w:szCs w:val="28"/>
          <w14:textFill>
            <w14:solidFill>
              <w14:schemeClr w14:val="tx1"/>
            </w14:solidFill>
          </w14:textFill>
        </w:rPr>
        <w:t>发布</w:t>
      </w:r>
    </w:p>
    <w:p w14:paraId="3B5F02F2">
      <w:pPr>
        <w:pStyle w:val="43"/>
        <w:framePr w:wrap="around" w:y="14176"/>
        <w:rPr>
          <w:color w:val="000000" w:themeColor="text1"/>
          <w:szCs w:val="28"/>
          <w14:textFill>
            <w14:solidFill>
              <w14:schemeClr w14:val="tx1"/>
            </w14:solidFill>
          </w14:textFill>
        </w:rPr>
      </w:pPr>
      <w:r>
        <w:rPr>
          <w:rFonts w:ascii="黑体"/>
          <w:color w:val="000000" w:themeColor="text1"/>
          <w:szCs w:val="28"/>
          <w14:textFill>
            <w14:solidFill>
              <w14:schemeClr w14:val="tx1"/>
            </w14:solidFill>
          </w14:textFill>
        </w:rPr>
        <w:t>202X</w:t>
      </w:r>
      <w:r>
        <w:rPr>
          <w:color w:val="000000" w:themeColor="text1"/>
          <w:szCs w:val="28"/>
          <w14:textFill>
            <w14:solidFill>
              <w14:schemeClr w14:val="tx1"/>
            </w14:solidFill>
          </w14:textFill>
        </w:rPr>
        <w:t xml:space="preserve"> </w:t>
      </w:r>
      <w:r>
        <w:rPr>
          <w:rFonts w:ascii="黑体"/>
          <w:color w:val="000000" w:themeColor="text1"/>
          <w:szCs w:val="28"/>
          <w14:textFill>
            <w14:solidFill>
              <w14:schemeClr w14:val="tx1"/>
            </w14:solidFill>
          </w14:textFill>
        </w:rPr>
        <w:t>-</w:t>
      </w:r>
      <w:r>
        <w:rPr>
          <w:color w:val="000000" w:themeColor="text1"/>
          <w:szCs w:val="28"/>
          <w14:textFill>
            <w14:solidFill>
              <w14:schemeClr w14:val="tx1"/>
            </w14:solidFill>
          </w14:textFill>
        </w:rPr>
        <w:t xml:space="preserve"> </w:t>
      </w:r>
      <w:bookmarkStart w:id="14" w:name="CROT_DATE_M"/>
      <w:r>
        <w:rPr>
          <w:rFonts w:ascii="黑体"/>
          <w:color w:val="000000" w:themeColor="text1"/>
          <w:szCs w:val="28"/>
          <w14:textFill>
            <w14:solidFill>
              <w14:schemeClr w14:val="tx1"/>
            </w14:solidFill>
          </w14:textFill>
        </w:rPr>
        <w:fldChar w:fldCharType="begin">
          <w:ffData>
            <w:name w:val="CROT_DATE_M"/>
            <w:enabled/>
            <w:calcOnExit w:val="0"/>
            <w:textInput>
              <w:default w:val="XX"/>
              <w:maxLength w:val="2"/>
            </w:textInput>
          </w:ffData>
        </w:fldChar>
      </w:r>
      <w:r>
        <w:rPr>
          <w:rFonts w:ascii="黑体"/>
          <w:color w:val="000000" w:themeColor="text1"/>
          <w:szCs w:val="28"/>
          <w14:textFill>
            <w14:solidFill>
              <w14:schemeClr w14:val="tx1"/>
            </w14:solidFill>
          </w14:textFill>
        </w:rPr>
        <w:instrText xml:space="preserve"> FORMTEXT </w:instrText>
      </w:r>
      <w:r>
        <w:rPr>
          <w:rFonts w:ascii="黑体"/>
          <w:color w:val="000000" w:themeColor="text1"/>
          <w:szCs w:val="28"/>
          <w14:textFill>
            <w14:solidFill>
              <w14:schemeClr w14:val="tx1"/>
            </w14:solidFill>
          </w14:textFill>
        </w:rPr>
        <w:fldChar w:fldCharType="separate"/>
      </w:r>
      <w:r>
        <w:rPr>
          <w:rFonts w:ascii="黑体"/>
          <w:color w:val="000000" w:themeColor="text1"/>
          <w:szCs w:val="28"/>
          <w14:textFill>
            <w14:solidFill>
              <w14:schemeClr w14:val="tx1"/>
            </w14:solidFill>
          </w14:textFill>
        </w:rPr>
        <w:t>XX</w:t>
      </w:r>
      <w:r>
        <w:rPr>
          <w:rFonts w:ascii="黑体"/>
          <w:color w:val="000000" w:themeColor="text1"/>
          <w:szCs w:val="28"/>
          <w14:textFill>
            <w14:solidFill>
              <w14:schemeClr w14:val="tx1"/>
            </w14:solidFill>
          </w14:textFill>
        </w:rPr>
        <w:fldChar w:fldCharType="end"/>
      </w:r>
      <w:bookmarkEnd w:id="14"/>
      <w:r>
        <w:rPr>
          <w:color w:val="000000" w:themeColor="text1"/>
          <w:szCs w:val="28"/>
          <w14:textFill>
            <w14:solidFill>
              <w14:schemeClr w14:val="tx1"/>
            </w14:solidFill>
          </w14:textFill>
        </w:rPr>
        <w:t xml:space="preserve"> </w:t>
      </w:r>
      <w:r>
        <w:rPr>
          <w:rFonts w:ascii="黑体"/>
          <w:color w:val="000000" w:themeColor="text1"/>
          <w:szCs w:val="28"/>
          <w14:textFill>
            <w14:solidFill>
              <w14:schemeClr w14:val="tx1"/>
            </w14:solidFill>
          </w14:textFill>
        </w:rPr>
        <w:t>-</w:t>
      </w:r>
      <w:r>
        <w:rPr>
          <w:color w:val="000000" w:themeColor="text1"/>
          <w:szCs w:val="28"/>
          <w14:textFill>
            <w14:solidFill>
              <w14:schemeClr w14:val="tx1"/>
            </w14:solidFill>
          </w14:textFill>
        </w:rPr>
        <w:t xml:space="preserve"> </w:t>
      </w:r>
      <w:bookmarkStart w:id="15" w:name="CROT_DATE_D"/>
      <w:r>
        <w:rPr>
          <w:rFonts w:ascii="黑体"/>
          <w:color w:val="000000" w:themeColor="text1"/>
          <w:szCs w:val="28"/>
          <w14:textFill>
            <w14:solidFill>
              <w14:schemeClr w14:val="tx1"/>
            </w14:solidFill>
          </w14:textFill>
        </w:rPr>
        <w:fldChar w:fldCharType="begin">
          <w:ffData>
            <w:name w:val="CROT_DATE_D"/>
            <w:enabled/>
            <w:calcOnExit w:val="0"/>
            <w:textInput>
              <w:default w:val="XX"/>
              <w:maxLength w:val="2"/>
            </w:textInput>
          </w:ffData>
        </w:fldChar>
      </w:r>
      <w:r>
        <w:rPr>
          <w:rFonts w:ascii="黑体"/>
          <w:color w:val="000000" w:themeColor="text1"/>
          <w:szCs w:val="28"/>
          <w14:textFill>
            <w14:solidFill>
              <w14:schemeClr w14:val="tx1"/>
            </w14:solidFill>
          </w14:textFill>
        </w:rPr>
        <w:instrText xml:space="preserve"> FORMTEXT </w:instrText>
      </w:r>
      <w:r>
        <w:rPr>
          <w:rFonts w:ascii="黑体"/>
          <w:color w:val="000000" w:themeColor="text1"/>
          <w:szCs w:val="28"/>
          <w14:textFill>
            <w14:solidFill>
              <w14:schemeClr w14:val="tx1"/>
            </w14:solidFill>
          </w14:textFill>
        </w:rPr>
        <w:fldChar w:fldCharType="separate"/>
      </w:r>
      <w:r>
        <w:rPr>
          <w:rFonts w:ascii="黑体"/>
          <w:color w:val="000000" w:themeColor="text1"/>
          <w:szCs w:val="28"/>
          <w14:textFill>
            <w14:solidFill>
              <w14:schemeClr w14:val="tx1"/>
            </w14:solidFill>
          </w14:textFill>
        </w:rPr>
        <w:t>XX</w:t>
      </w:r>
      <w:r>
        <w:rPr>
          <w:rFonts w:ascii="黑体"/>
          <w:color w:val="000000" w:themeColor="text1"/>
          <w:szCs w:val="28"/>
          <w14:textFill>
            <w14:solidFill>
              <w14:schemeClr w14:val="tx1"/>
            </w14:solidFill>
          </w14:textFill>
        </w:rPr>
        <w:fldChar w:fldCharType="end"/>
      </w:r>
      <w:bookmarkEnd w:id="15"/>
      <w:r>
        <w:rPr>
          <w:rFonts w:hint="eastAsia"/>
          <w:color w:val="000000" w:themeColor="text1"/>
          <w:szCs w:val="28"/>
          <w14:textFill>
            <w14:solidFill>
              <w14:schemeClr w14:val="tx1"/>
            </w14:solidFill>
          </w14:textFill>
        </w:rPr>
        <w:t>实施</w:t>
      </w:r>
    </w:p>
    <w:p w14:paraId="254C4B4E">
      <w:pPr>
        <w:pStyle w:val="41"/>
        <w:framePr w:w="5163" w:wrap="around" w:x="3750" w:y="14911"/>
        <w:spacing w:line="240" w:lineRule="auto"/>
        <w:rPr>
          <w:color w:val="000000" w:themeColor="text1"/>
          <w:sz w:val="28"/>
          <w:szCs w:val="28"/>
          <w14:textFill>
            <w14:solidFill>
              <w14:schemeClr w14:val="tx1"/>
            </w14:solidFill>
          </w14:textFill>
        </w:rPr>
      </w:pPr>
      <w:r>
        <w:rPr>
          <w:rFonts w:hint="eastAsia"/>
          <w:color w:val="000000" w:themeColor="text1"/>
          <w:w w:val="100"/>
          <w:sz w:val="28"/>
          <w:szCs w:val="28"/>
          <w14:textFill>
            <w14:solidFill>
              <w14:schemeClr w14:val="tx1"/>
            </w14:solidFill>
          </w14:textFill>
        </w:rPr>
        <w:t>安徽省市场监督管理局</w:t>
      </w:r>
      <w:r>
        <w:rPr>
          <w:color w:val="000000" w:themeColor="text1"/>
          <w:w w:val="100"/>
          <w:sz w:val="28"/>
          <w:szCs w:val="28"/>
          <w14:textFill>
            <w14:solidFill>
              <w14:schemeClr w14:val="tx1"/>
            </w14:solidFill>
          </w14:textFill>
        </w:rPr>
        <w:t xml:space="preserve">  </w:t>
      </w:r>
      <w:r>
        <w:rPr>
          <w:rStyle w:val="52"/>
          <w:rFonts w:hint="eastAsia"/>
          <w:color w:val="000000" w:themeColor="text1"/>
          <w14:textFill>
            <w14:solidFill>
              <w14:schemeClr w14:val="tx1"/>
            </w14:solidFill>
          </w14:textFill>
        </w:rPr>
        <w:t>发布</w:t>
      </w:r>
    </w:p>
    <w:p w14:paraId="5C0082C7">
      <w:pPr>
        <w:spacing w:line="240" w:lineRule="auto"/>
        <w:ind w:firstLine="420"/>
        <w:rPr>
          <w:rFonts w:ascii="宋体"/>
          <w:color w:val="000000" w:themeColor="text1"/>
          <w:sz w:val="21"/>
          <w:szCs w:val="21"/>
          <w14:textFill>
            <w14:solidFill>
              <w14:schemeClr w14:val="tx1"/>
            </w14:solidFill>
          </w14:textFill>
        </w:rPr>
        <w:sectPr>
          <w:footerReference r:id="rId9" w:type="first"/>
          <w:headerReference r:id="rId5" w:type="default"/>
          <w:footerReference r:id="rId7" w:type="default"/>
          <w:headerReference r:id="rId6" w:type="even"/>
          <w:footerReference r:id="rId8" w:type="even"/>
          <w:pgSz w:w="11906" w:h="16838"/>
          <w:pgMar w:top="338" w:right="1134" w:bottom="1021" w:left="1134" w:header="0" w:footer="0" w:gutter="284"/>
          <w:cols w:space="720" w:num="1"/>
          <w:titlePg/>
          <w:docGrid w:linePitch="312" w:charSpace="0"/>
        </w:sectPr>
      </w:pPr>
      <w:r>
        <w:rPr>
          <w:rFonts w:hint="eastAsia" w:ascii="宋体"/>
          <w:color w:val="000000" w:themeColor="text1"/>
          <w:sz w:val="21"/>
          <w:szCs w:val="21"/>
          <w14:textFill>
            <w14:solidFill>
              <w14:schemeClr w14:val="tx1"/>
            </w14:solidFill>
          </w14:textFill>
        </w:rPr>
        <mc:AlternateContent>
          <mc:Choice Requires="wps">
            <w:drawing>
              <wp:anchor distT="0" distB="0" distL="113665" distR="113665" simplePos="0" relativeHeight="251660288" behindDoc="0" locked="1" layoutInCell="1" allowOverlap="1">
                <wp:simplePos x="0" y="0"/>
                <wp:positionH relativeFrom="page">
                  <wp:posOffset>899160</wp:posOffset>
                </wp:positionH>
                <wp:positionV relativeFrom="page">
                  <wp:posOffset>9252585</wp:posOffset>
                </wp:positionV>
                <wp:extent cx="6120130" cy="635"/>
                <wp:effectExtent l="0" t="0" r="0" b="0"/>
                <wp:wrapNone/>
                <wp:docPr id="6" name="直接连接符 5"/>
                <wp:cNvGraphicFramePr/>
                <a:graphic xmlns:a="http://schemas.openxmlformats.org/drawingml/2006/main">
                  <a:graphicData uri="http://schemas.microsoft.com/office/word/2010/wordprocessingShape">
                    <wps:wsp>
                      <wps:cNvCnPr/>
                      <wps:spPr>
                        <a:xfrm>
                          <a:off x="0" y="0"/>
                          <a:ext cx="6120130" cy="951"/>
                        </a:xfrm>
                        <a:prstGeom prst="line">
                          <a:avLst/>
                        </a:prstGeom>
                        <a:noFill/>
                        <a:ln w="9525" cap="flat" cmpd="sng">
                          <a:solidFill>
                            <a:srgbClr val="000000"/>
                          </a:solidFill>
                          <a:prstDash val="solid"/>
                          <a:round/>
                        </a:ln>
                      </wps:spPr>
                      <wps:bodyPr/>
                    </wps:wsp>
                  </a:graphicData>
                </a:graphic>
              </wp:anchor>
            </w:drawing>
          </mc:Choice>
          <mc:Fallback>
            <w:pict>
              <v:line id="直接连接符 5" o:spid="_x0000_s1026" o:spt="20" style="position:absolute;left:0pt;margin-left:70.8pt;margin-top:728.55pt;height:0.05pt;width:481.9pt;mso-position-horizontal-relative:page;mso-position-vertical-relative:page;z-index:251660288;mso-width-relative:page;mso-height-relative:page;" filled="f" stroked="t" coordsize="21600,21600" o:gfxdata="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GfZ2MTYAAAADgEAAA8AAAAAAAAAAQAg&#10;AAAAIgAAAGRycy9kb3ducmV2LnhtbFBLAQIUABQAAAAIAIdO4kDnEEXW1QEAAJsDAAAOAAAAAAAA&#10;AAEAIAAAACcBAABkcnMvZTJvRG9jLnhtbFBLBQYAAAAABgAGAFkBAABuBQAAAAA=&#10;">
                <v:fill on="f" focussize="0,0"/>
                <v:stroke color="#000000" joinstyle="round"/>
                <v:imagedata o:title=""/>
                <o:lock v:ext="edit" aspectratio="f"/>
                <w10:anchorlock/>
              </v:line>
            </w:pict>
          </mc:Fallback>
        </mc:AlternateContent>
      </w:r>
    </w:p>
    <w:p w14:paraId="4F49B262">
      <w:pPr>
        <w:pStyle w:val="39"/>
        <w:rPr>
          <w:color w:val="000000" w:themeColor="text1"/>
          <w:szCs w:val="32"/>
          <w14:textFill>
            <w14:solidFill>
              <w14:schemeClr w14:val="tx1"/>
            </w14:solidFill>
          </w14:textFill>
        </w:rPr>
      </w:pPr>
      <w:bookmarkStart w:id="16" w:name="BookMark1"/>
      <w:r>
        <w:rPr>
          <w:rFonts w:hint="eastAsia"/>
          <w:color w:val="000000" w:themeColor="text1"/>
          <w:spacing w:val="320"/>
          <w:szCs w:val="32"/>
          <w14:textFill>
            <w14:solidFill>
              <w14:schemeClr w14:val="tx1"/>
            </w14:solidFill>
          </w14:textFill>
        </w:rPr>
        <w:t>目</w:t>
      </w:r>
      <w:r>
        <w:rPr>
          <w:rFonts w:hint="eastAsia"/>
          <w:color w:val="000000" w:themeColor="text1"/>
          <w:szCs w:val="32"/>
          <w14:textFill>
            <w14:solidFill>
              <w14:schemeClr w14:val="tx1"/>
            </w14:solidFill>
          </w14:textFill>
        </w:rPr>
        <w:t>次</w:t>
      </w:r>
    </w:p>
    <w:p w14:paraId="033BCD9C">
      <w:pPr>
        <w:pStyle w:val="11"/>
        <w:tabs>
          <w:tab w:val="right" w:leader="dot" w:pos="9354"/>
        </w:tabs>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TOC \o "1-1" \h \t "标准文件_一级条标题,2,标准文件_附录一级条标题,2,"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instrText xml:space="preserve"> HYPERLINK \l _Toc30325 </w:instrText>
      </w:r>
      <w:r>
        <w:fldChar w:fldCharType="separate"/>
      </w:r>
      <w:r>
        <w:rPr>
          <w:spacing w:val="320"/>
          <w:szCs w:val="32"/>
        </w:rPr>
        <w:t>前</w:t>
      </w:r>
      <w:r>
        <w:rPr>
          <w:szCs w:val="32"/>
        </w:rPr>
        <w:t>言</w:t>
      </w:r>
      <w:r>
        <w:tab/>
      </w:r>
      <w:r>
        <w:fldChar w:fldCharType="begin"/>
      </w:r>
      <w:r>
        <w:instrText xml:space="preserve"> PAGEREF _Toc30325 \h </w:instrText>
      </w:r>
      <w:r>
        <w:fldChar w:fldCharType="separate"/>
      </w:r>
      <w:r>
        <w:t>II</w:t>
      </w:r>
      <w:r>
        <w:fldChar w:fldCharType="end"/>
      </w:r>
      <w:r>
        <w:rPr>
          <w:color w:val="000000" w:themeColor="text1"/>
          <w14:textFill>
            <w14:solidFill>
              <w14:schemeClr w14:val="tx1"/>
            </w14:solidFill>
          </w14:textFill>
        </w:rPr>
        <w:fldChar w:fldCharType="end"/>
      </w:r>
    </w:p>
    <w:p w14:paraId="2EA3D54E">
      <w:pPr>
        <w:pStyle w:val="11"/>
        <w:tabs>
          <w:tab w:val="right" w:leader="dot" w:pos="9354"/>
        </w:tabs>
      </w:pPr>
      <w:r>
        <w:rPr>
          <w:color w:val="000000" w:themeColor="text1"/>
          <w14:textFill>
            <w14:solidFill>
              <w14:schemeClr w14:val="tx1"/>
            </w14:solidFill>
          </w14:textFill>
        </w:rPr>
        <w:fldChar w:fldCharType="begin"/>
      </w:r>
      <w:r>
        <w:instrText xml:space="preserve"> HYPERLINK \l _Toc27029 </w:instrText>
      </w:r>
      <w:r>
        <w:fldChar w:fldCharType="separate"/>
      </w:r>
      <w:r>
        <w:rPr>
          <w:rFonts w:hint="eastAsia"/>
        </w:rPr>
        <w:t>1</w:t>
      </w:r>
      <w:r>
        <w:t xml:space="preserve"> 范围</w:t>
      </w:r>
      <w:r>
        <w:tab/>
      </w:r>
      <w:r>
        <w:fldChar w:fldCharType="begin"/>
      </w:r>
      <w:r>
        <w:instrText xml:space="preserve"> PAGEREF _Toc27029 \h </w:instrText>
      </w:r>
      <w:r>
        <w:fldChar w:fldCharType="separate"/>
      </w:r>
      <w:r>
        <w:t>1</w:t>
      </w:r>
      <w:r>
        <w:fldChar w:fldCharType="end"/>
      </w:r>
      <w:r>
        <w:rPr>
          <w:color w:val="000000" w:themeColor="text1"/>
          <w14:textFill>
            <w14:solidFill>
              <w14:schemeClr w14:val="tx1"/>
            </w14:solidFill>
          </w14:textFill>
        </w:rPr>
        <w:fldChar w:fldCharType="end"/>
      </w:r>
    </w:p>
    <w:p w14:paraId="4791B2CE">
      <w:pPr>
        <w:pStyle w:val="11"/>
        <w:tabs>
          <w:tab w:val="right" w:leader="dot" w:pos="9354"/>
        </w:tabs>
      </w:pPr>
      <w:r>
        <w:rPr>
          <w:color w:val="000000" w:themeColor="text1"/>
          <w14:textFill>
            <w14:solidFill>
              <w14:schemeClr w14:val="tx1"/>
            </w14:solidFill>
          </w14:textFill>
        </w:rPr>
        <w:fldChar w:fldCharType="begin"/>
      </w:r>
      <w:r>
        <w:instrText xml:space="preserve"> HYPERLINK \l _Toc9154 </w:instrText>
      </w:r>
      <w:r>
        <w:fldChar w:fldCharType="separate"/>
      </w:r>
      <w:r>
        <w:rPr>
          <w:rFonts w:hint="eastAsia"/>
        </w:rPr>
        <w:t>2 规范性引用文件</w:t>
      </w:r>
      <w:r>
        <w:tab/>
      </w:r>
      <w:r>
        <w:fldChar w:fldCharType="begin"/>
      </w:r>
      <w:r>
        <w:instrText xml:space="preserve"> PAGEREF _Toc9154 \h </w:instrText>
      </w:r>
      <w:r>
        <w:fldChar w:fldCharType="separate"/>
      </w:r>
      <w:r>
        <w:t>1</w:t>
      </w:r>
      <w:r>
        <w:fldChar w:fldCharType="end"/>
      </w:r>
      <w:r>
        <w:rPr>
          <w:color w:val="000000" w:themeColor="text1"/>
          <w14:textFill>
            <w14:solidFill>
              <w14:schemeClr w14:val="tx1"/>
            </w14:solidFill>
          </w14:textFill>
        </w:rPr>
        <w:fldChar w:fldCharType="end"/>
      </w:r>
    </w:p>
    <w:p w14:paraId="58E4A047">
      <w:pPr>
        <w:pStyle w:val="11"/>
        <w:tabs>
          <w:tab w:val="right" w:leader="dot" w:pos="9354"/>
        </w:tabs>
      </w:pPr>
      <w:r>
        <w:rPr>
          <w:color w:val="000000" w:themeColor="text1"/>
          <w14:textFill>
            <w14:solidFill>
              <w14:schemeClr w14:val="tx1"/>
            </w14:solidFill>
          </w14:textFill>
        </w:rPr>
        <w:fldChar w:fldCharType="begin"/>
      </w:r>
      <w:r>
        <w:instrText xml:space="preserve"> HYPERLINK \l _Toc17282 </w:instrText>
      </w:r>
      <w:r>
        <w:fldChar w:fldCharType="separate"/>
      </w:r>
      <w:r>
        <w:rPr>
          <w:rFonts w:hint="eastAsia"/>
        </w:rPr>
        <w:t>3</w:t>
      </w:r>
      <w:r>
        <w:t xml:space="preserve"> 术语和定义</w:t>
      </w:r>
      <w:r>
        <w:tab/>
      </w:r>
      <w:r>
        <w:fldChar w:fldCharType="begin"/>
      </w:r>
      <w:r>
        <w:instrText xml:space="preserve"> PAGEREF _Toc17282 \h </w:instrText>
      </w:r>
      <w:r>
        <w:fldChar w:fldCharType="separate"/>
      </w:r>
      <w:r>
        <w:t>2</w:t>
      </w:r>
      <w:r>
        <w:fldChar w:fldCharType="end"/>
      </w:r>
      <w:r>
        <w:rPr>
          <w:color w:val="000000" w:themeColor="text1"/>
          <w14:textFill>
            <w14:solidFill>
              <w14:schemeClr w14:val="tx1"/>
            </w14:solidFill>
          </w14:textFill>
        </w:rPr>
        <w:fldChar w:fldCharType="end"/>
      </w:r>
    </w:p>
    <w:p w14:paraId="43351D5A">
      <w:pPr>
        <w:pStyle w:val="11"/>
        <w:tabs>
          <w:tab w:val="right" w:leader="dot" w:pos="9354"/>
        </w:tabs>
      </w:pPr>
      <w:r>
        <w:rPr>
          <w:color w:val="000000" w:themeColor="text1"/>
          <w14:textFill>
            <w14:solidFill>
              <w14:schemeClr w14:val="tx1"/>
            </w14:solidFill>
          </w14:textFill>
        </w:rPr>
        <w:fldChar w:fldCharType="begin"/>
      </w:r>
      <w:r>
        <w:instrText xml:space="preserve"> HYPERLINK \l _Toc7834 </w:instrText>
      </w:r>
      <w:r>
        <w:fldChar w:fldCharType="separate"/>
      </w:r>
      <w:r>
        <w:rPr>
          <w:rFonts w:hint="eastAsia"/>
        </w:rPr>
        <w:t>4</w:t>
      </w:r>
      <w:r>
        <w:t xml:space="preserve"> </w:t>
      </w:r>
      <w:r>
        <w:rPr>
          <w:rFonts w:hint="eastAsia"/>
        </w:rPr>
        <w:t>工作流程</w:t>
      </w:r>
      <w:r>
        <w:tab/>
      </w:r>
      <w:r>
        <w:fldChar w:fldCharType="begin"/>
      </w:r>
      <w:r>
        <w:instrText xml:space="preserve"> PAGEREF _Toc7834 \h </w:instrText>
      </w:r>
      <w:r>
        <w:fldChar w:fldCharType="separate"/>
      </w:r>
      <w:r>
        <w:t>2</w:t>
      </w:r>
      <w:r>
        <w:fldChar w:fldCharType="end"/>
      </w:r>
      <w:r>
        <w:rPr>
          <w:color w:val="000000" w:themeColor="text1"/>
          <w14:textFill>
            <w14:solidFill>
              <w14:schemeClr w14:val="tx1"/>
            </w14:solidFill>
          </w14:textFill>
        </w:rPr>
        <w:fldChar w:fldCharType="end"/>
      </w:r>
    </w:p>
    <w:p w14:paraId="2154EC68">
      <w:pPr>
        <w:pStyle w:val="11"/>
        <w:tabs>
          <w:tab w:val="right" w:leader="dot" w:pos="9354"/>
        </w:tabs>
      </w:pPr>
      <w:r>
        <w:rPr>
          <w:color w:val="000000" w:themeColor="text1"/>
          <w14:textFill>
            <w14:solidFill>
              <w14:schemeClr w14:val="tx1"/>
            </w14:solidFill>
          </w14:textFill>
        </w:rPr>
        <w:fldChar w:fldCharType="begin"/>
      </w:r>
      <w:r>
        <w:instrText xml:space="preserve"> HYPERLINK \l _Toc11960 </w:instrText>
      </w:r>
      <w:r>
        <w:fldChar w:fldCharType="separate"/>
      </w:r>
      <w:r>
        <w:rPr>
          <w:rFonts w:hint="eastAsia"/>
        </w:rPr>
        <w:t>5</w:t>
      </w:r>
      <w:r>
        <w:t xml:space="preserve"> </w:t>
      </w:r>
      <w:r>
        <w:rPr>
          <w:rFonts w:hint="eastAsia"/>
        </w:rPr>
        <w:t>工程设计</w:t>
      </w:r>
      <w:r>
        <w:tab/>
      </w:r>
      <w:r>
        <w:fldChar w:fldCharType="begin"/>
      </w:r>
      <w:r>
        <w:instrText xml:space="preserve"> PAGEREF _Toc11960 \h </w:instrText>
      </w:r>
      <w:r>
        <w:fldChar w:fldCharType="separate"/>
      </w:r>
      <w:r>
        <w:t>3</w:t>
      </w:r>
      <w:r>
        <w:fldChar w:fldCharType="end"/>
      </w:r>
      <w:r>
        <w:rPr>
          <w:color w:val="000000" w:themeColor="text1"/>
          <w14:textFill>
            <w14:solidFill>
              <w14:schemeClr w14:val="tx1"/>
            </w14:solidFill>
          </w14:textFill>
        </w:rPr>
        <w:fldChar w:fldCharType="end"/>
      </w:r>
    </w:p>
    <w:p w14:paraId="5FFC63C9">
      <w:pPr>
        <w:pStyle w:val="12"/>
        <w:tabs>
          <w:tab w:val="right" w:leader="dot" w:pos="9354"/>
          <w:tab w:val="clear" w:pos="9344"/>
        </w:tabs>
      </w:pPr>
      <w:r>
        <w:rPr>
          <w:color w:val="000000" w:themeColor="text1"/>
          <w14:textFill>
            <w14:solidFill>
              <w14:schemeClr w14:val="tx1"/>
            </w14:solidFill>
          </w14:textFill>
        </w:rPr>
        <w:fldChar w:fldCharType="begin"/>
      </w:r>
      <w:r>
        <w:instrText xml:space="preserve"> HYPERLINK \l _Toc26850 </w:instrText>
      </w:r>
      <w:r>
        <w:fldChar w:fldCharType="separate"/>
      </w:r>
      <w:r>
        <w:rPr>
          <w:rFonts w:hint="eastAsia"/>
        </w:rPr>
        <w:t>5</w:t>
      </w:r>
      <w:r>
        <w:t xml:space="preserve">.1 </w:t>
      </w:r>
      <w:r>
        <w:rPr>
          <w:rFonts w:hint="eastAsia"/>
        </w:rPr>
        <w:t>主要排水户</w:t>
      </w:r>
      <w:r>
        <w:tab/>
      </w:r>
      <w:r>
        <w:fldChar w:fldCharType="begin"/>
      </w:r>
      <w:r>
        <w:instrText xml:space="preserve"> PAGEREF _Toc26850 \h </w:instrText>
      </w:r>
      <w:r>
        <w:fldChar w:fldCharType="separate"/>
      </w:r>
      <w:r>
        <w:t>3</w:t>
      </w:r>
      <w:r>
        <w:fldChar w:fldCharType="end"/>
      </w:r>
      <w:r>
        <w:rPr>
          <w:color w:val="000000" w:themeColor="text1"/>
          <w14:textFill>
            <w14:solidFill>
              <w14:schemeClr w14:val="tx1"/>
            </w14:solidFill>
          </w14:textFill>
        </w:rPr>
        <w:fldChar w:fldCharType="end"/>
      </w:r>
    </w:p>
    <w:p w14:paraId="5F53DCFC">
      <w:pPr>
        <w:pStyle w:val="12"/>
        <w:tabs>
          <w:tab w:val="right" w:leader="dot" w:pos="9354"/>
          <w:tab w:val="clear" w:pos="9344"/>
        </w:tabs>
      </w:pPr>
      <w:r>
        <w:rPr>
          <w:color w:val="000000" w:themeColor="text1"/>
          <w14:textFill>
            <w14:solidFill>
              <w14:schemeClr w14:val="tx1"/>
            </w14:solidFill>
          </w14:textFill>
        </w:rPr>
        <w:fldChar w:fldCharType="begin"/>
      </w:r>
      <w:r>
        <w:instrText xml:space="preserve"> HYPERLINK \l _Toc20166 </w:instrText>
      </w:r>
      <w:r>
        <w:fldChar w:fldCharType="separate"/>
      </w:r>
      <w:r>
        <w:rPr>
          <w:rFonts w:hint="eastAsia"/>
        </w:rPr>
        <w:t>5.2 公共排水设施</w:t>
      </w:r>
      <w:r>
        <w:tab/>
      </w:r>
      <w:r>
        <w:fldChar w:fldCharType="begin"/>
      </w:r>
      <w:r>
        <w:instrText xml:space="preserve"> PAGEREF _Toc20166 \h </w:instrText>
      </w:r>
      <w:r>
        <w:fldChar w:fldCharType="separate"/>
      </w:r>
      <w:r>
        <w:t>7</w:t>
      </w:r>
      <w:r>
        <w:fldChar w:fldCharType="end"/>
      </w:r>
      <w:r>
        <w:rPr>
          <w:color w:val="000000" w:themeColor="text1"/>
          <w14:textFill>
            <w14:solidFill>
              <w14:schemeClr w14:val="tx1"/>
            </w14:solidFill>
          </w14:textFill>
        </w:rPr>
        <w:fldChar w:fldCharType="end"/>
      </w:r>
    </w:p>
    <w:p w14:paraId="5944AD50">
      <w:pPr>
        <w:pStyle w:val="12"/>
        <w:tabs>
          <w:tab w:val="right" w:leader="dot" w:pos="9354"/>
          <w:tab w:val="clear" w:pos="9344"/>
        </w:tabs>
      </w:pPr>
      <w:r>
        <w:rPr>
          <w:color w:val="000000" w:themeColor="text1"/>
          <w14:textFill>
            <w14:solidFill>
              <w14:schemeClr w14:val="tx1"/>
            </w14:solidFill>
          </w14:textFill>
        </w:rPr>
        <w:fldChar w:fldCharType="begin"/>
      </w:r>
      <w:r>
        <w:instrText xml:space="preserve"> HYPERLINK \l _Toc9247 </w:instrText>
      </w:r>
      <w:r>
        <w:fldChar w:fldCharType="separate"/>
      </w:r>
      <w:r>
        <w:t>5.3 城镇</w:t>
      </w:r>
      <w:r>
        <w:rPr>
          <w:rFonts w:hint="eastAsia"/>
        </w:rPr>
        <w:t>污水处理设施或工业废水集中处理厂</w:t>
      </w:r>
      <w:r>
        <w:tab/>
      </w:r>
      <w:r>
        <w:fldChar w:fldCharType="begin"/>
      </w:r>
      <w:r>
        <w:instrText xml:space="preserve"> PAGEREF _Toc9247 \h </w:instrText>
      </w:r>
      <w:r>
        <w:fldChar w:fldCharType="separate"/>
      </w:r>
      <w:r>
        <w:t>9</w:t>
      </w:r>
      <w:r>
        <w:fldChar w:fldCharType="end"/>
      </w:r>
      <w:r>
        <w:rPr>
          <w:color w:val="000000" w:themeColor="text1"/>
          <w14:textFill>
            <w14:solidFill>
              <w14:schemeClr w14:val="tx1"/>
            </w14:solidFill>
          </w14:textFill>
        </w:rPr>
        <w:fldChar w:fldCharType="end"/>
      </w:r>
    </w:p>
    <w:p w14:paraId="1BC6088D">
      <w:pPr>
        <w:pStyle w:val="12"/>
        <w:tabs>
          <w:tab w:val="right" w:leader="dot" w:pos="9354"/>
          <w:tab w:val="clear" w:pos="9344"/>
        </w:tabs>
      </w:pPr>
      <w:r>
        <w:rPr>
          <w:color w:val="000000" w:themeColor="text1"/>
          <w14:textFill>
            <w14:solidFill>
              <w14:schemeClr w14:val="tx1"/>
            </w14:solidFill>
          </w14:textFill>
        </w:rPr>
        <w:fldChar w:fldCharType="begin"/>
      </w:r>
      <w:r>
        <w:instrText xml:space="preserve"> HYPERLINK \l _Toc627 </w:instrText>
      </w:r>
      <w:r>
        <w:fldChar w:fldCharType="separate"/>
      </w:r>
      <w:r>
        <w:rPr>
          <w:rFonts w:hint="eastAsia"/>
        </w:rPr>
        <w:t>5</w:t>
      </w:r>
      <w:r>
        <w:t>.4 入河排污</w:t>
      </w:r>
      <w:r>
        <w:rPr>
          <w:rFonts w:hint="eastAsia"/>
        </w:rPr>
        <w:t>口</w:t>
      </w:r>
      <w:r>
        <w:tab/>
      </w:r>
      <w:r>
        <w:fldChar w:fldCharType="begin"/>
      </w:r>
      <w:r>
        <w:instrText xml:space="preserve"> PAGEREF _Toc627 \h </w:instrText>
      </w:r>
      <w:r>
        <w:fldChar w:fldCharType="separate"/>
      </w:r>
      <w:r>
        <w:t>9</w:t>
      </w:r>
      <w:r>
        <w:fldChar w:fldCharType="end"/>
      </w:r>
      <w:r>
        <w:rPr>
          <w:color w:val="000000" w:themeColor="text1"/>
          <w14:textFill>
            <w14:solidFill>
              <w14:schemeClr w14:val="tx1"/>
            </w14:solidFill>
          </w14:textFill>
        </w:rPr>
        <w:fldChar w:fldCharType="end"/>
      </w:r>
    </w:p>
    <w:p w14:paraId="34E52BA3">
      <w:pPr>
        <w:pStyle w:val="11"/>
        <w:tabs>
          <w:tab w:val="right" w:leader="dot" w:pos="9354"/>
        </w:tabs>
      </w:pPr>
      <w:r>
        <w:rPr>
          <w:color w:val="000000" w:themeColor="text1"/>
          <w14:textFill>
            <w14:solidFill>
              <w14:schemeClr w14:val="tx1"/>
            </w14:solidFill>
          </w14:textFill>
        </w:rPr>
        <w:fldChar w:fldCharType="begin"/>
      </w:r>
      <w:r>
        <w:instrText xml:space="preserve"> HYPERLINK \l _Toc12815 </w:instrText>
      </w:r>
      <w:r>
        <w:fldChar w:fldCharType="separate"/>
      </w:r>
      <w:r>
        <w:rPr>
          <w:rFonts w:hint="eastAsia"/>
        </w:rPr>
        <w:t>6</w:t>
      </w:r>
      <w:r>
        <w:t xml:space="preserve"> </w:t>
      </w:r>
      <w:r>
        <w:rPr>
          <w:rFonts w:hint="eastAsia"/>
        </w:rPr>
        <w:t>工程施工与验收</w:t>
      </w:r>
      <w:r>
        <w:tab/>
      </w:r>
      <w:r>
        <w:fldChar w:fldCharType="begin"/>
      </w:r>
      <w:r>
        <w:instrText xml:space="preserve"> PAGEREF _Toc12815 \h </w:instrText>
      </w:r>
      <w:r>
        <w:fldChar w:fldCharType="separate"/>
      </w:r>
      <w:r>
        <w:t>10</w:t>
      </w:r>
      <w:r>
        <w:fldChar w:fldCharType="end"/>
      </w:r>
      <w:r>
        <w:rPr>
          <w:color w:val="000000" w:themeColor="text1"/>
          <w14:textFill>
            <w14:solidFill>
              <w14:schemeClr w14:val="tx1"/>
            </w14:solidFill>
          </w14:textFill>
        </w:rPr>
        <w:fldChar w:fldCharType="end"/>
      </w:r>
    </w:p>
    <w:p w14:paraId="49238B2C">
      <w:pPr>
        <w:pStyle w:val="12"/>
        <w:tabs>
          <w:tab w:val="right" w:leader="dot" w:pos="9354"/>
          <w:tab w:val="clear" w:pos="9344"/>
        </w:tabs>
      </w:pPr>
      <w:r>
        <w:rPr>
          <w:color w:val="000000" w:themeColor="text1"/>
          <w14:textFill>
            <w14:solidFill>
              <w14:schemeClr w14:val="tx1"/>
            </w14:solidFill>
          </w14:textFill>
        </w:rPr>
        <w:fldChar w:fldCharType="begin"/>
      </w:r>
      <w:r>
        <w:instrText xml:space="preserve"> HYPERLINK \l _Toc21092 </w:instrText>
      </w:r>
      <w:r>
        <w:fldChar w:fldCharType="separate"/>
      </w:r>
      <w:r>
        <w:rPr>
          <w:rFonts w:hint="eastAsia"/>
        </w:rPr>
        <w:t>6</w:t>
      </w:r>
      <w:r>
        <w:t xml:space="preserve">.1 </w:t>
      </w:r>
      <w:r>
        <w:rPr>
          <w:rFonts w:hint="eastAsia"/>
        </w:rPr>
        <w:t>施工</w:t>
      </w:r>
      <w:r>
        <w:tab/>
      </w:r>
      <w:r>
        <w:fldChar w:fldCharType="begin"/>
      </w:r>
      <w:r>
        <w:instrText xml:space="preserve"> PAGEREF _Toc21092 \h </w:instrText>
      </w:r>
      <w:r>
        <w:fldChar w:fldCharType="separate"/>
      </w:r>
      <w:r>
        <w:t>10</w:t>
      </w:r>
      <w:r>
        <w:fldChar w:fldCharType="end"/>
      </w:r>
      <w:r>
        <w:rPr>
          <w:color w:val="000000" w:themeColor="text1"/>
          <w14:textFill>
            <w14:solidFill>
              <w14:schemeClr w14:val="tx1"/>
            </w14:solidFill>
          </w14:textFill>
        </w:rPr>
        <w:fldChar w:fldCharType="end"/>
      </w:r>
    </w:p>
    <w:p w14:paraId="7B4BC0BF">
      <w:pPr>
        <w:pStyle w:val="12"/>
        <w:tabs>
          <w:tab w:val="right" w:leader="dot" w:pos="9354"/>
          <w:tab w:val="clear" w:pos="9344"/>
        </w:tabs>
      </w:pPr>
      <w:r>
        <w:rPr>
          <w:color w:val="000000" w:themeColor="text1"/>
          <w14:textFill>
            <w14:solidFill>
              <w14:schemeClr w14:val="tx1"/>
            </w14:solidFill>
          </w14:textFill>
        </w:rPr>
        <w:fldChar w:fldCharType="begin"/>
      </w:r>
      <w:r>
        <w:instrText xml:space="preserve"> HYPERLINK \l _Toc30485 </w:instrText>
      </w:r>
      <w:r>
        <w:fldChar w:fldCharType="separate"/>
      </w:r>
      <w:r>
        <w:rPr>
          <w:rFonts w:hint="eastAsia"/>
        </w:rPr>
        <w:t>6</w:t>
      </w:r>
      <w:r>
        <w:t xml:space="preserve">.2 </w:t>
      </w:r>
      <w:r>
        <w:rPr>
          <w:rFonts w:hint="eastAsia"/>
        </w:rPr>
        <w:t>验收</w:t>
      </w:r>
      <w:r>
        <w:tab/>
      </w:r>
      <w:r>
        <w:fldChar w:fldCharType="begin"/>
      </w:r>
      <w:r>
        <w:instrText xml:space="preserve"> PAGEREF _Toc30485 \h </w:instrText>
      </w:r>
      <w:r>
        <w:fldChar w:fldCharType="separate"/>
      </w:r>
      <w:r>
        <w:t>10</w:t>
      </w:r>
      <w:r>
        <w:fldChar w:fldCharType="end"/>
      </w:r>
      <w:r>
        <w:rPr>
          <w:color w:val="000000" w:themeColor="text1"/>
          <w14:textFill>
            <w14:solidFill>
              <w14:schemeClr w14:val="tx1"/>
            </w14:solidFill>
          </w14:textFill>
        </w:rPr>
        <w:fldChar w:fldCharType="end"/>
      </w:r>
    </w:p>
    <w:p w14:paraId="347D3786">
      <w:pPr>
        <w:pStyle w:val="11"/>
        <w:tabs>
          <w:tab w:val="right" w:leader="dot" w:pos="9354"/>
        </w:tabs>
      </w:pPr>
      <w:r>
        <w:rPr>
          <w:color w:val="000000" w:themeColor="text1"/>
          <w14:textFill>
            <w14:solidFill>
              <w14:schemeClr w14:val="tx1"/>
            </w14:solidFill>
          </w14:textFill>
        </w:rPr>
        <w:fldChar w:fldCharType="begin"/>
      </w:r>
      <w:r>
        <w:instrText xml:space="preserve"> HYPERLINK \l _Toc32357 </w:instrText>
      </w:r>
      <w:r>
        <w:fldChar w:fldCharType="separate"/>
      </w:r>
      <w:r>
        <w:t>附 录 A</w:t>
      </w:r>
      <w:r>
        <w:tab/>
      </w:r>
      <w:r>
        <w:fldChar w:fldCharType="begin"/>
      </w:r>
      <w:r>
        <w:instrText xml:space="preserve"> PAGEREF _Toc32357 \h </w:instrText>
      </w:r>
      <w:r>
        <w:fldChar w:fldCharType="separate"/>
      </w:r>
      <w:r>
        <w:t>12</w:t>
      </w:r>
      <w:r>
        <w:fldChar w:fldCharType="end"/>
      </w:r>
      <w:r>
        <w:rPr>
          <w:color w:val="000000" w:themeColor="text1"/>
          <w14:textFill>
            <w14:solidFill>
              <w14:schemeClr w14:val="tx1"/>
            </w14:solidFill>
          </w14:textFill>
        </w:rPr>
        <w:fldChar w:fldCharType="end"/>
      </w:r>
    </w:p>
    <w:p w14:paraId="021682D8">
      <w:pPr>
        <w:pStyle w:val="39"/>
        <w:rPr>
          <w:color w:val="000000" w:themeColor="text1"/>
          <w:sz w:val="21"/>
          <w14:textFill>
            <w14:solidFill>
              <w14:schemeClr w14:val="tx1"/>
            </w14:solidFill>
          </w14:textFill>
        </w:rPr>
        <w:sectPr>
          <w:headerReference r:id="rId10" w:type="default"/>
          <w:footerReference r:id="rId12" w:type="default"/>
          <w:headerReference r:id="rId11" w:type="even"/>
          <w:footerReference r:id="rId13" w:type="even"/>
          <w:pgSz w:w="11906" w:h="16838"/>
          <w:pgMar w:top="567" w:right="1134" w:bottom="1134" w:left="1134" w:header="1418" w:footer="1134" w:gutter="284"/>
          <w:pgNumType w:fmt="upperRoman" w:start="1"/>
          <w:cols w:space="720" w:num="1"/>
          <w:formProt w:val="0"/>
          <w:docGrid w:type="lines" w:linePitch="312" w:charSpace="0"/>
        </w:sectPr>
      </w:pPr>
      <w:r>
        <w:rPr>
          <w:color w:val="000000" w:themeColor="text1"/>
          <w14:textFill>
            <w14:solidFill>
              <w14:schemeClr w14:val="tx1"/>
            </w14:solidFill>
          </w14:textFill>
        </w:rPr>
        <w:fldChar w:fldCharType="end"/>
      </w:r>
    </w:p>
    <w:bookmarkEnd w:id="16"/>
    <w:p w14:paraId="33BE5E91">
      <w:pPr>
        <w:pStyle w:val="38"/>
        <w:rPr>
          <w:color w:val="000000" w:themeColor="text1"/>
          <w:szCs w:val="32"/>
          <w14:textFill>
            <w14:solidFill>
              <w14:schemeClr w14:val="tx1"/>
            </w14:solidFill>
          </w14:textFill>
        </w:rPr>
      </w:pPr>
      <w:bookmarkStart w:id="17" w:name="_Toc165379782"/>
      <w:bookmarkStart w:id="18" w:name="_Toc30325"/>
      <w:bookmarkStart w:id="19" w:name="BookMark2"/>
      <w:r>
        <w:rPr>
          <w:color w:val="000000" w:themeColor="text1"/>
          <w:spacing w:val="320"/>
          <w:szCs w:val="32"/>
          <w14:textFill>
            <w14:solidFill>
              <w14:schemeClr w14:val="tx1"/>
            </w14:solidFill>
          </w14:textFill>
        </w:rPr>
        <w:t>前</w:t>
      </w:r>
      <w:r>
        <w:rPr>
          <w:color w:val="000000" w:themeColor="text1"/>
          <w:szCs w:val="32"/>
          <w14:textFill>
            <w14:solidFill>
              <w14:schemeClr w14:val="tx1"/>
            </w14:solidFill>
          </w14:textFill>
        </w:rPr>
        <w:t>言</w:t>
      </w:r>
      <w:bookmarkEnd w:id="17"/>
      <w:bookmarkEnd w:id="18"/>
    </w:p>
    <w:p w14:paraId="1AB86BA6">
      <w:pPr>
        <w:pStyle w:val="35"/>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本文件按照GB/T</w:t>
      </w:r>
      <w:r>
        <w:rPr>
          <w:color w:val="000000" w:themeColor="text1"/>
          <w:szCs w:val="21"/>
          <w14:textFill>
            <w14:solidFill>
              <w14:schemeClr w14:val="tx1"/>
            </w14:solidFill>
          </w14:textFill>
        </w:rPr>
        <w:t xml:space="preserve"> 1.1-2020</w:t>
      </w:r>
      <w:r>
        <w:rPr>
          <w:rFonts w:hint="eastAsia"/>
          <w:color w:val="000000" w:themeColor="text1"/>
          <w:szCs w:val="21"/>
          <w14:textFill>
            <w14:solidFill>
              <w14:schemeClr w14:val="tx1"/>
            </w14:solidFill>
          </w14:textFill>
        </w:rPr>
        <w:t>《标准化工作导则 第1部分：标准化文件的结构和起草规则》的规定起草。</w:t>
      </w:r>
    </w:p>
    <w:p w14:paraId="76B2D2F5">
      <w:pPr>
        <w:pStyle w:val="35"/>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本文件是</w:t>
      </w:r>
      <w:r>
        <w:rPr>
          <w:color w:val="000000" w:themeColor="text1"/>
          <w:szCs w:val="21"/>
          <w14:textFill>
            <w14:solidFill>
              <w14:schemeClr w14:val="tx1"/>
            </w14:solidFill>
          </w14:textFill>
        </w:rPr>
        <w:t>DB34/T XXXX</w:t>
      </w:r>
      <w:r>
        <w:rPr>
          <w:rFonts w:hint="eastAsia"/>
          <w:color w:val="000000" w:themeColor="text1"/>
          <w:szCs w:val="21"/>
          <w14:textFill>
            <w14:solidFill>
              <w14:schemeClr w14:val="tx1"/>
            </w14:solidFill>
          </w14:textFill>
        </w:rPr>
        <w:t>《城镇、乡镇“污废水零直排区”建设技术规范》的第3部分。DB34/T</w:t>
      </w:r>
      <w:r>
        <w:rPr>
          <w:color w:val="000000" w:themeColor="text1"/>
          <w:szCs w:val="21"/>
          <w14:textFill>
            <w14:solidFill>
              <w14:schemeClr w14:val="tx1"/>
            </w14:solidFill>
          </w14:textFill>
        </w:rPr>
        <w:t xml:space="preserve"> XXXX</w:t>
      </w:r>
      <w:r>
        <w:rPr>
          <w:rFonts w:hint="eastAsia"/>
          <w:color w:val="000000" w:themeColor="text1"/>
          <w:szCs w:val="21"/>
          <w14:textFill>
            <w14:solidFill>
              <w14:schemeClr w14:val="tx1"/>
            </w14:solidFill>
          </w14:textFill>
        </w:rPr>
        <w:t>已经发布了以下部分:</w:t>
      </w:r>
    </w:p>
    <w:p w14:paraId="30E25FB3">
      <w:pPr>
        <w:pStyle w:val="35"/>
        <w:ind w:firstLine="420"/>
        <w:rPr>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第 1 部分：总则；</w:t>
      </w:r>
    </w:p>
    <w:p w14:paraId="1CBC209B">
      <w:pPr>
        <w:pStyle w:val="35"/>
        <w:ind w:firstLine="420"/>
        <w:rPr>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第 2 部分：排查；</w:t>
      </w:r>
    </w:p>
    <w:p w14:paraId="07E946B4">
      <w:pPr>
        <w:pStyle w:val="35"/>
        <w:ind w:firstLine="420"/>
        <w:rPr>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第 3 部分：设计与施工；</w:t>
      </w:r>
    </w:p>
    <w:p w14:paraId="31D43C37">
      <w:pPr>
        <w:pStyle w:val="35"/>
        <w:ind w:firstLine="420"/>
        <w:rPr>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第 4 部分：评估与验收；</w:t>
      </w:r>
    </w:p>
    <w:p w14:paraId="52D62A82">
      <w:pPr>
        <w:pStyle w:val="35"/>
        <w:ind w:firstLine="420"/>
        <w:rPr>
          <w:color w:val="000000" w:themeColor="text1"/>
          <w:szCs w:val="21"/>
          <w14:textFill>
            <w14:solidFill>
              <w14:schemeClr w14:val="tx1"/>
            </w14:solidFill>
          </w14:textFill>
        </w:rPr>
      </w:pPr>
      <w:r>
        <w:rPr>
          <w:rFonts w:ascii="Times New Roman"/>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第 5 部分：运行维护。</w:t>
      </w:r>
    </w:p>
    <w:p w14:paraId="5684D72A">
      <w:pPr>
        <w:pStyle w:val="35"/>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请注意本文件的某些内容可能涉及专利。本文件的发布机构不承担识别专利的责任。</w:t>
      </w:r>
    </w:p>
    <w:p w14:paraId="23F761CF">
      <w:pPr>
        <w:pStyle w:val="35"/>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本文件由安徽省市场监督管理局提出并归口。</w:t>
      </w:r>
    </w:p>
    <w:p w14:paraId="5FBC0950">
      <w:pPr>
        <w:pStyle w:val="35"/>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文件起草单位:安徽省生态环境监测中心(安徽省重污染天气预报预警中心、安徽省机动车排气污染监控中心)、安徽建筑大学、安徽久吾天虹环保科技有限公司、安徽省通源环境节能股份有限公司、安徽环境科技集团股份有限公司。</w:t>
      </w:r>
    </w:p>
    <w:p w14:paraId="24681A7F">
      <w:pPr>
        <w:pStyle w:val="35"/>
        <w:ind w:firstLine="42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本文件主要起草人：。</w:t>
      </w:r>
    </w:p>
    <w:p w14:paraId="720648F2">
      <w:pPr>
        <w:pStyle w:val="35"/>
        <w:ind w:firstLine="420"/>
        <w:rPr>
          <w:color w:val="000000" w:themeColor="text1"/>
          <w:szCs w:val="21"/>
          <w14:textFill>
            <w14:solidFill>
              <w14:schemeClr w14:val="tx1"/>
            </w14:solidFill>
          </w14:textFill>
        </w:rPr>
      </w:pPr>
    </w:p>
    <w:p w14:paraId="32EFD07C">
      <w:pPr>
        <w:pStyle w:val="35"/>
        <w:ind w:firstLine="420"/>
        <w:rPr>
          <w:color w:val="000000" w:themeColor="text1"/>
          <w:szCs w:val="21"/>
          <w14:textFill>
            <w14:solidFill>
              <w14:schemeClr w14:val="tx1"/>
            </w14:solidFill>
          </w14:textFill>
        </w:rPr>
        <w:sectPr>
          <w:headerReference r:id="rId14" w:type="default"/>
          <w:footerReference r:id="rId16" w:type="default"/>
          <w:headerReference r:id="rId15" w:type="even"/>
          <w:footerReference r:id="rId17" w:type="even"/>
          <w:pgSz w:w="11906" w:h="16838"/>
          <w:pgMar w:top="567" w:right="1134" w:bottom="1134" w:left="1134" w:header="1418" w:footer="1134" w:gutter="284"/>
          <w:pgNumType w:fmt="upperRoman"/>
          <w:cols w:space="720" w:num="1"/>
          <w:formProt w:val="0"/>
          <w:docGrid w:type="lines" w:linePitch="312" w:charSpace="0"/>
        </w:sectPr>
      </w:pPr>
    </w:p>
    <w:bookmarkEnd w:id="19"/>
    <w:p w14:paraId="39C18513">
      <w:pPr>
        <w:pStyle w:val="55"/>
        <w:spacing w:before="593" w:beforeLines="182" w:after="717" w:afterLines="220"/>
      </w:pPr>
      <w:bookmarkStart w:id="20" w:name="NEW_STAND_NAME"/>
      <w:bookmarkStart w:id="21" w:name="_Toc165379783"/>
      <w:r>
        <w:rPr>
          <w:rFonts w:hint="eastAsia"/>
        </w:rPr>
        <w:t>城市、乡镇“污废水零直排区”建设技术规范</w:t>
      </w:r>
      <w:r>
        <w:br w:type="textWrapping"/>
      </w:r>
      <w:r>
        <w:rPr>
          <w:rFonts w:hint="eastAsia"/>
        </w:rPr>
        <w:t>第3部分：设计与施工</w:t>
      </w:r>
    </w:p>
    <w:bookmarkEnd w:id="20"/>
    <w:bookmarkEnd w:id="21"/>
    <w:p w14:paraId="54E8D666">
      <w:pPr>
        <w:pStyle w:val="54"/>
        <w:spacing w:before="312" w:beforeLines="0" w:after="312" w:afterLines="0"/>
      </w:pPr>
      <w:bookmarkStart w:id="22" w:name="_Toc27029"/>
      <w:r>
        <w:rPr>
          <w:rFonts w:hint="eastAsia"/>
        </w:rPr>
        <w:t>1</w:t>
      </w:r>
      <w:r>
        <w:t xml:space="preserve"> 范围</w:t>
      </w:r>
      <w:bookmarkEnd w:id="22"/>
    </w:p>
    <w:p w14:paraId="7372873D">
      <w:pPr>
        <w:pStyle w:val="35"/>
        <w:ind w:firstLine="420"/>
      </w:pPr>
      <w:r>
        <w:rPr>
          <w:rFonts w:hint="eastAsia"/>
        </w:rPr>
        <w:t>本文件规定了城镇“污废水零直排区”建设的规范性引用文件、术语和定义、工作流程、工程设计、工程施工与验收。</w:t>
      </w:r>
    </w:p>
    <w:p w14:paraId="644ACADA">
      <w:pPr>
        <w:pStyle w:val="35"/>
        <w:ind w:firstLine="420"/>
      </w:pPr>
      <w:r>
        <w:rPr>
          <w:rFonts w:hint="eastAsia"/>
        </w:rPr>
        <w:t>本文件适用于指导和规范</w:t>
      </w:r>
      <w:r>
        <w:rPr>
          <w:rFonts w:hint="eastAsia"/>
          <w:color w:val="FF0000"/>
          <w:highlight w:val="yellow"/>
        </w:rPr>
        <w:t>城市</w:t>
      </w:r>
      <w:r>
        <w:rPr>
          <w:rFonts w:hint="eastAsia"/>
          <w:color w:val="FF0000"/>
          <w:highlight w:val="yellow"/>
          <w:lang w:val="en-US" w:eastAsia="zh-CN"/>
        </w:rPr>
        <w:t>建成区</w:t>
      </w:r>
      <w:r>
        <w:rPr>
          <w:rFonts w:hint="eastAsia"/>
          <w:color w:val="FF0000"/>
          <w:highlight w:val="yellow"/>
        </w:rPr>
        <w:t>、乡镇</w:t>
      </w:r>
      <w:r>
        <w:rPr>
          <w:rFonts w:hint="eastAsia"/>
          <w:color w:val="FF0000"/>
          <w:highlight w:val="yellow"/>
          <w:lang w:val="en-US" w:eastAsia="zh-CN"/>
        </w:rPr>
        <w:t>人民政府驻地</w:t>
      </w:r>
      <w:r>
        <w:rPr>
          <w:rFonts w:hint="eastAsia"/>
        </w:rPr>
        <w:t>“污废水零直排区”建设的设计与施工要求。</w:t>
      </w:r>
    </w:p>
    <w:p w14:paraId="52807416">
      <w:pPr>
        <w:pStyle w:val="54"/>
        <w:spacing w:before="312" w:beforeLines="0" w:after="312" w:afterLines="0"/>
      </w:pPr>
      <w:bookmarkStart w:id="23" w:name="_Toc9154"/>
      <w:r>
        <w:rPr>
          <w:rFonts w:hint="eastAsia"/>
        </w:rPr>
        <w:t>2 规范性引用文件</w:t>
      </w:r>
      <w:bookmarkEnd w:id="23"/>
    </w:p>
    <w:p w14:paraId="64B0E9F1">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本文件按下列文件中的内容通过文中的规范性引用而构成本标准必不可少的条款。</w:t>
      </w:r>
    </w:p>
    <w:p w14:paraId="13B00F0B">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w:t>
      </w:r>
      <w:r>
        <w:rPr>
          <w:color w:val="000000" w:themeColor="text1"/>
          <w:sz w:val="21"/>
          <w:szCs w:val="21"/>
          <w14:textFill>
            <w14:solidFill>
              <w14:schemeClr w14:val="tx1"/>
            </w14:solidFill>
          </w14:textFill>
        </w:rPr>
        <w:t xml:space="preserve">B3544 </w:t>
      </w:r>
      <w:r>
        <w:rPr>
          <w:rFonts w:hint="eastAsia"/>
          <w:color w:val="000000" w:themeColor="text1"/>
          <w:sz w:val="21"/>
          <w:szCs w:val="21"/>
          <w14:textFill>
            <w14:solidFill>
              <w14:schemeClr w14:val="tx1"/>
            </w14:solidFill>
          </w14:textFill>
        </w:rPr>
        <w:t>制浆造纸工业水污染排放标准</w:t>
      </w:r>
    </w:p>
    <w:p w14:paraId="7AD442A3">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w:t>
      </w:r>
      <w:r>
        <w:rPr>
          <w:color w:val="000000" w:themeColor="text1"/>
          <w:sz w:val="21"/>
          <w:szCs w:val="21"/>
          <w14:textFill>
            <w14:solidFill>
              <w14:schemeClr w14:val="tx1"/>
            </w14:solidFill>
          </w14:textFill>
        </w:rPr>
        <w:t xml:space="preserve">B8978 </w:t>
      </w:r>
      <w:r>
        <w:rPr>
          <w:rFonts w:hint="eastAsia"/>
          <w:color w:val="000000" w:themeColor="text1"/>
          <w:sz w:val="21"/>
          <w:szCs w:val="21"/>
          <w14:textFill>
            <w14:solidFill>
              <w14:schemeClr w14:val="tx1"/>
            </w14:solidFill>
          </w14:textFill>
        </w:rPr>
        <w:t>污水综合排放标准</w:t>
      </w:r>
    </w:p>
    <w:p w14:paraId="2C3B54B4">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GB 13457 肉类加工工业水污染物排放标准</w:t>
      </w:r>
    </w:p>
    <w:p w14:paraId="00A6B591">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GB 18466 医疗机构水污染物排放标准</w:t>
      </w:r>
    </w:p>
    <w:p w14:paraId="20BC022F">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GB 26877 汽车维修业水污染物排放标准</w:t>
      </w:r>
    </w:p>
    <w:p w14:paraId="38E139E8">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GB 30484 电池工业污染物排放标准</w:t>
      </w:r>
    </w:p>
    <w:p w14:paraId="56B09059">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GB 50014 室外排水设计标准</w:t>
      </w:r>
    </w:p>
    <w:p w14:paraId="39867A5E">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GB 50015建筑给水排水设计标准</w:t>
      </w:r>
    </w:p>
    <w:p w14:paraId="7E00CB76">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GB 50141 给水排水构筑物工程施工及验收规范</w:t>
      </w:r>
    </w:p>
    <w:p w14:paraId="44B4EE24">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GB 50268 给水排水管道工程施工及验收规范</w:t>
      </w:r>
    </w:p>
    <w:p w14:paraId="1FE8ED4D">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GB 50483 化工建设项目环境保护设计标准</w:t>
      </w:r>
    </w:p>
    <w:p w14:paraId="3ACC32F0">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GB 50747 石油化工污水处理设计规范</w:t>
      </w:r>
    </w:p>
    <w:p w14:paraId="7D22B4ED">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w:t>
      </w:r>
      <w:r>
        <w:rPr>
          <w:color w:val="000000" w:themeColor="text1"/>
          <w:sz w:val="21"/>
          <w:szCs w:val="21"/>
          <w14:textFill>
            <w14:solidFill>
              <w14:schemeClr w14:val="tx1"/>
            </w14:solidFill>
          </w14:textFill>
        </w:rPr>
        <w:t xml:space="preserve">B51441 </w:t>
      </w:r>
      <w:r>
        <w:rPr>
          <w:rFonts w:hint="eastAsia"/>
          <w:color w:val="000000" w:themeColor="text1"/>
          <w:sz w:val="21"/>
          <w:szCs w:val="21"/>
          <w14:textFill>
            <w14:solidFill>
              <w14:schemeClr w14:val="tx1"/>
            </w14:solidFill>
          </w14:textFill>
        </w:rPr>
        <w:t>电子工业废水处理工程设计标准</w:t>
      </w:r>
    </w:p>
    <w:p w14:paraId="633A2306">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w:t>
      </w:r>
      <w:r>
        <w:rPr>
          <w:color w:val="000000" w:themeColor="text1"/>
          <w:sz w:val="21"/>
          <w:szCs w:val="21"/>
          <w14:textFill>
            <w14:solidFill>
              <w14:schemeClr w14:val="tx1"/>
            </w14:solidFill>
          </w14:textFill>
        </w:rPr>
        <w:t xml:space="preserve">B55027 </w:t>
      </w:r>
      <w:r>
        <w:rPr>
          <w:rFonts w:hint="eastAsia"/>
          <w:color w:val="000000" w:themeColor="text1"/>
          <w:sz w:val="21"/>
          <w:szCs w:val="21"/>
          <w14:textFill>
            <w14:solidFill>
              <w14:schemeClr w14:val="tx1"/>
            </w14:solidFill>
          </w14:textFill>
        </w:rPr>
        <w:t>城乡排水工程项目规范</w:t>
      </w:r>
    </w:p>
    <w:p w14:paraId="50E3B5E9">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GB/T 16739.1 汽车维修业经营业务条件 第1部分：汽车整车维修企业</w:t>
      </w:r>
    </w:p>
    <w:p w14:paraId="31D1F09E">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GB/T 16739.2 汽车维修业经营业务条件 第2部分：汽车综合小修及专项维修业户</w:t>
      </w:r>
    </w:p>
    <w:p w14:paraId="2B604E58">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GB/T 31962 污水排入城镇下水道水质标准</w:t>
      </w:r>
    </w:p>
    <w:p w14:paraId="2D1767A0">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GB/T 50046 工业建筑防腐蚀设计标准</w:t>
      </w:r>
    </w:p>
    <w:p w14:paraId="1B5F11A6">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GB/T 50934 石油化工防渗工程技术规范</w:t>
      </w:r>
    </w:p>
    <w:p w14:paraId="2B28B8F8">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CJJ/T 47 生活垃圾转运站技术规范</w:t>
      </w:r>
    </w:p>
    <w:p w14:paraId="16B4552A">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CJJT210 </w:t>
      </w:r>
      <w:r>
        <w:rPr>
          <w:rFonts w:hint="eastAsia"/>
          <w:color w:val="000000" w:themeColor="text1"/>
          <w:sz w:val="21"/>
          <w:szCs w:val="21"/>
          <w14:textFill>
            <w14:solidFill>
              <w14:schemeClr w14:val="tx1"/>
            </w14:solidFill>
          </w14:textFill>
        </w:rPr>
        <w:t>城镇排水管道非开挖修复更新工程技术规程</w:t>
      </w:r>
    </w:p>
    <w:p w14:paraId="605DE568">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HJ853 </w:t>
      </w:r>
      <w:r>
        <w:rPr>
          <w:rFonts w:hint="eastAsia"/>
          <w:color w:val="000000" w:themeColor="text1"/>
          <w:sz w:val="21"/>
          <w:szCs w:val="21"/>
          <w14:textFill>
            <w14:solidFill>
              <w14:schemeClr w14:val="tx1"/>
            </w14:solidFill>
          </w14:textFill>
        </w:rPr>
        <w:t>排污许可证申请与核发技术规范 石油化工</w:t>
      </w:r>
    </w:p>
    <w:p w14:paraId="6B2A66B0">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HJ855 </w:t>
      </w:r>
      <w:r>
        <w:rPr>
          <w:rFonts w:hint="eastAsia"/>
          <w:color w:val="000000" w:themeColor="text1"/>
          <w:sz w:val="21"/>
          <w:szCs w:val="21"/>
          <w14:textFill>
            <w14:solidFill>
              <w14:schemeClr w14:val="tx1"/>
            </w14:solidFill>
          </w14:textFill>
        </w:rPr>
        <w:t>排污许可证申请与核发技术规范 电镀化工</w:t>
      </w:r>
    </w:p>
    <w:p w14:paraId="7990C373">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HJ859.1 </w:t>
      </w:r>
      <w:r>
        <w:rPr>
          <w:rFonts w:hint="eastAsia"/>
          <w:color w:val="000000" w:themeColor="text1"/>
          <w:sz w:val="21"/>
          <w:szCs w:val="21"/>
          <w14:textFill>
            <w14:solidFill>
              <w14:schemeClr w14:val="tx1"/>
            </w14:solidFill>
          </w14:textFill>
        </w:rPr>
        <w:t>排污许可证申请与核发技术规范 制革及毛皮加工工业—制革工业</w:t>
      </w:r>
    </w:p>
    <w:p w14:paraId="49F4D587">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HJ860.3 </w:t>
      </w:r>
      <w:r>
        <w:rPr>
          <w:rFonts w:hint="eastAsia"/>
          <w:color w:val="000000" w:themeColor="text1"/>
          <w:sz w:val="21"/>
          <w:szCs w:val="21"/>
          <w14:textFill>
            <w14:solidFill>
              <w14:schemeClr w14:val="tx1"/>
            </w14:solidFill>
          </w14:textFill>
        </w:rPr>
        <w:t>排污许可证申请与核发技术规范 农副食品加工工业—屠宰及肉类加工工业</w:t>
      </w:r>
    </w:p>
    <w:p w14:paraId="7AD10A83">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HJ861 </w:t>
      </w:r>
      <w:r>
        <w:rPr>
          <w:rFonts w:hint="eastAsia"/>
          <w:color w:val="000000" w:themeColor="text1"/>
          <w:sz w:val="21"/>
          <w:szCs w:val="21"/>
          <w14:textFill>
            <w14:solidFill>
              <w14:schemeClr w14:val="tx1"/>
            </w14:solidFill>
          </w14:textFill>
        </w:rPr>
        <w:t>排污许可证申请与核发技术规范 纺织印染工业</w:t>
      </w:r>
    </w:p>
    <w:p w14:paraId="36330F83">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HJ967 </w:t>
      </w:r>
      <w:r>
        <w:rPr>
          <w:rFonts w:hint="eastAsia"/>
          <w:color w:val="000000" w:themeColor="text1"/>
          <w:sz w:val="21"/>
          <w:szCs w:val="21"/>
          <w14:textFill>
            <w14:solidFill>
              <w14:schemeClr w14:val="tx1"/>
            </w14:solidFill>
          </w14:textFill>
        </w:rPr>
        <w:t>排污许可证申请与核发技术规范 电池工业</w:t>
      </w:r>
    </w:p>
    <w:p w14:paraId="02BDF3FE">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HJ971 </w:t>
      </w:r>
      <w:r>
        <w:rPr>
          <w:rFonts w:hint="eastAsia"/>
          <w:color w:val="000000" w:themeColor="text1"/>
          <w:sz w:val="21"/>
          <w:szCs w:val="21"/>
          <w14:textFill>
            <w14:solidFill>
              <w14:schemeClr w14:val="tx1"/>
            </w14:solidFill>
          </w14:textFill>
        </w:rPr>
        <w:t>排污许可证申请与核发技术规范 汽车制造业</w:t>
      </w:r>
    </w:p>
    <w:p w14:paraId="713B96B6">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HJ978 </w:t>
      </w:r>
      <w:r>
        <w:rPr>
          <w:rFonts w:hint="eastAsia"/>
          <w:color w:val="000000" w:themeColor="text1"/>
          <w:sz w:val="21"/>
          <w:szCs w:val="21"/>
          <w14:textFill>
            <w14:solidFill>
              <w14:schemeClr w14:val="tx1"/>
            </w14:solidFill>
          </w14:textFill>
        </w:rPr>
        <w:t>排污许可证申请与核发技术规范 水处理 （试行）</w:t>
      </w:r>
    </w:p>
    <w:p w14:paraId="18240D21">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H</w:t>
      </w:r>
      <w:r>
        <w:rPr>
          <w:color w:val="000000" w:themeColor="text1"/>
          <w:sz w:val="21"/>
          <w:szCs w:val="21"/>
          <w14:textFill>
            <w14:solidFill>
              <w14:schemeClr w14:val="tx1"/>
            </w14:solidFill>
          </w14:textFill>
        </w:rPr>
        <w:t xml:space="preserve">J1181 </w:t>
      </w:r>
      <w:r>
        <w:rPr>
          <w:rFonts w:hint="eastAsia"/>
          <w:color w:val="000000" w:themeColor="text1"/>
          <w:sz w:val="21"/>
          <w:szCs w:val="21"/>
          <w14:textFill>
            <w14:solidFill>
              <w14:schemeClr w14:val="tx1"/>
            </w14:solidFill>
          </w14:textFill>
        </w:rPr>
        <w:t>汽车工业污染防治可行技术指南</w:t>
      </w:r>
    </w:p>
    <w:p w14:paraId="7873C569">
      <w:pPr>
        <w:spacing w:line="240" w:lineRule="auto"/>
        <w:ind w:firstLine="420"/>
        <w:rPr>
          <w:rFonts w:hint="eastAsia"/>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HJ1308 </w:t>
      </w:r>
      <w:r>
        <w:rPr>
          <w:rFonts w:hint="eastAsia"/>
          <w:color w:val="000000" w:themeColor="text1"/>
          <w:sz w:val="21"/>
          <w:szCs w:val="21"/>
          <w14:textFill>
            <w14:solidFill>
              <w14:schemeClr w14:val="tx1"/>
            </w14:solidFill>
          </w14:textFill>
        </w:rPr>
        <w:t>入河入海排污口监督管理技术指南整治 总则</w:t>
      </w:r>
    </w:p>
    <w:p w14:paraId="627C80C4">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HJ1309 入河入海排污口监督管理技术指南</w:t>
      </w:r>
      <w:r>
        <w:rPr>
          <w:rFonts w:hint="eastAsia"/>
          <w:color w:val="000000" w:themeColor="text1"/>
          <w:sz w:val="21"/>
          <w:szCs w:val="21"/>
          <w14:textFill>
            <w14:solidFill>
              <w14:schemeClr w14:val="tx1"/>
            </w14:solidFill>
          </w14:textFill>
        </w:rPr>
        <w:t xml:space="preserve"> 入河排污口规范化建设</w:t>
      </w:r>
    </w:p>
    <w:p w14:paraId="7AC87B78">
      <w:pPr>
        <w:spacing w:line="240" w:lineRule="auto"/>
        <w:ind w:firstLine="42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HJ1386</w:t>
      </w:r>
      <w:r>
        <w:rPr>
          <w:color w:val="000000" w:themeColor="text1"/>
          <w:sz w:val="21"/>
          <w:szCs w:val="21"/>
          <w14:textFill>
            <w14:solidFill>
              <w14:schemeClr w14:val="tx1"/>
            </w14:solidFill>
          </w14:textFill>
        </w:rPr>
        <w:t xml:space="preserve"> </w:t>
      </w:r>
      <w:r>
        <w:rPr>
          <w:rFonts w:hint="eastAsia"/>
          <w:color w:val="000000" w:themeColor="text1"/>
          <w:sz w:val="21"/>
          <w:szCs w:val="21"/>
          <w14:textFill>
            <w14:solidFill>
              <w14:schemeClr w14:val="tx1"/>
            </w14:solidFill>
          </w14:textFill>
        </w:rPr>
        <w:t>入河入海排污口监督管理技术指南 入河排污口设置</w:t>
      </w:r>
    </w:p>
    <w:p w14:paraId="7E4641ED">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HJ2004</w:t>
      </w:r>
      <w:r>
        <w:rPr>
          <w:color w:val="000000" w:themeColor="text1"/>
          <w:sz w:val="21"/>
          <w:szCs w:val="21"/>
          <w14:textFill>
            <w14:solidFill>
              <w14:schemeClr w14:val="tx1"/>
            </w14:solidFill>
          </w14:textFill>
        </w:rPr>
        <w:t xml:space="preserve"> </w:t>
      </w:r>
      <w:r>
        <w:rPr>
          <w:rFonts w:hint="eastAsia"/>
          <w:color w:val="000000" w:themeColor="text1"/>
          <w:sz w:val="21"/>
          <w:szCs w:val="21"/>
          <w14:textFill>
            <w14:solidFill>
              <w14:schemeClr w14:val="tx1"/>
            </w14:solidFill>
          </w14:textFill>
        </w:rPr>
        <w:t>屠宰与肉类加工废水治理工程技术规范</w:t>
      </w:r>
    </w:p>
    <w:p w14:paraId="30431AEC">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H</w:t>
      </w:r>
      <w:r>
        <w:rPr>
          <w:color w:val="000000" w:themeColor="text1"/>
          <w:sz w:val="21"/>
          <w:szCs w:val="21"/>
          <w14:textFill>
            <w14:solidFill>
              <w14:schemeClr w14:val="tx1"/>
            </w14:solidFill>
          </w14:textFill>
        </w:rPr>
        <w:t xml:space="preserve">J2011 </w:t>
      </w:r>
      <w:r>
        <w:rPr>
          <w:rFonts w:hint="eastAsia"/>
          <w:color w:val="000000" w:themeColor="text1"/>
          <w:sz w:val="21"/>
          <w:szCs w:val="21"/>
          <w14:textFill>
            <w14:solidFill>
              <w14:schemeClr w14:val="tx1"/>
            </w14:solidFill>
          </w14:textFill>
        </w:rPr>
        <w:t>制浆造纸废水治理工程技术规范</w:t>
      </w:r>
    </w:p>
    <w:p w14:paraId="41011B30">
      <w:pPr>
        <w:spacing w:line="240" w:lineRule="auto"/>
        <w:ind w:firstLine="42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DB34/T3657</w:t>
      </w:r>
      <w:r>
        <w:rPr>
          <w:color w:val="000000" w:themeColor="text1"/>
          <w:sz w:val="21"/>
          <w:szCs w:val="21"/>
          <w14:textFill>
            <w14:solidFill>
              <w14:schemeClr w14:val="tx1"/>
            </w14:solidFill>
          </w14:textFill>
        </w:rPr>
        <w:t xml:space="preserve"> </w:t>
      </w:r>
      <w:r>
        <w:rPr>
          <w:rFonts w:hint="eastAsia"/>
          <w:color w:val="000000" w:themeColor="text1"/>
          <w:sz w:val="21"/>
          <w:szCs w:val="21"/>
          <w14:textFill>
            <w14:solidFill>
              <w14:schemeClr w14:val="tx1"/>
            </w14:solidFill>
          </w14:textFill>
        </w:rPr>
        <w:t>池塘水产养殖尾水处理技术规程</w:t>
      </w:r>
    </w:p>
    <w:p w14:paraId="789D7A6B">
      <w:pPr>
        <w:spacing w:line="240" w:lineRule="auto"/>
        <w:ind w:firstLine="420"/>
        <w:rPr>
          <w:rFonts w:hint="default" w:eastAsiaTheme="minorEastAsia"/>
          <w:color w:val="FF0000"/>
          <w:sz w:val="21"/>
          <w:szCs w:val="21"/>
          <w:lang w:val="en-US" w:eastAsia="zh-CN"/>
        </w:rPr>
      </w:pPr>
      <w:r>
        <w:rPr>
          <w:rFonts w:hint="eastAsia"/>
          <w:color w:val="FF0000"/>
          <w:sz w:val="21"/>
          <w:szCs w:val="21"/>
          <w:lang w:val="en-US" w:eastAsia="zh-CN"/>
        </w:rPr>
        <w:t>DB3401/T353 城镇雨污分流改造技术导则</w:t>
      </w:r>
    </w:p>
    <w:p w14:paraId="0514E063">
      <w:pPr>
        <w:pStyle w:val="54"/>
        <w:spacing w:before="312" w:beforeLines="0" w:after="312" w:afterLines="0"/>
      </w:pPr>
      <w:bookmarkStart w:id="24" w:name="_Toc17282"/>
      <w:r>
        <w:rPr>
          <w:rFonts w:hint="eastAsia"/>
        </w:rPr>
        <w:t>3</w:t>
      </w:r>
      <w:r>
        <w:t xml:space="preserve"> 术语和定义</w:t>
      </w:r>
      <w:bookmarkEnd w:id="24"/>
    </w:p>
    <w:p w14:paraId="3D18C3A4">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下列术语和定义适用于标准。</w:t>
      </w:r>
    </w:p>
    <w:p w14:paraId="686EF221">
      <w:pPr>
        <w:spacing w:line="240" w:lineRule="auto"/>
        <w:ind w:firstLine="422"/>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 xml:space="preserve">径流污染 </w:t>
      </w:r>
      <w:r>
        <w:rPr>
          <w:b/>
          <w:color w:val="000000" w:themeColor="text1"/>
          <w:sz w:val="21"/>
          <w:szCs w:val="21"/>
          <w14:textFill>
            <w14:solidFill>
              <w14:schemeClr w14:val="tx1"/>
            </w14:solidFill>
          </w14:textFill>
        </w:rPr>
        <w:t>Runoff pollution</w:t>
      </w:r>
    </w:p>
    <w:p w14:paraId="28C431EC">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通过降雨和地表径流冲刷，将大气和地表中的污染物带入受纳水体，使受纳水体遭受污染的现象，是城市面源污染的主要来源。</w:t>
      </w:r>
    </w:p>
    <w:p w14:paraId="0EC8BB72">
      <w:pPr>
        <w:pStyle w:val="54"/>
        <w:spacing w:before="312" w:beforeLines="0" w:after="312" w:afterLines="0"/>
      </w:pPr>
      <w:bookmarkStart w:id="25" w:name="_Toc7834"/>
      <w:r>
        <w:rPr>
          <w:rFonts w:hint="eastAsia"/>
        </w:rPr>
        <w:t>4</w:t>
      </w:r>
      <w:r>
        <w:t xml:space="preserve"> </w:t>
      </w:r>
      <w:r>
        <w:rPr>
          <w:rFonts w:hint="eastAsia"/>
        </w:rPr>
        <w:t>工作流程</w:t>
      </w:r>
      <w:bookmarkEnd w:id="25"/>
    </w:p>
    <w:p w14:paraId="0A2E7F62">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工作流程示意图见下图。</w:t>
      </w:r>
    </w:p>
    <w:p w14:paraId="63151B4E">
      <w:pPr>
        <w:spacing w:line="240" w:lineRule="auto"/>
        <w:jc w:val="center"/>
        <w:rPr>
          <w:color w:val="000000" w:themeColor="text1"/>
          <w14:textFill>
            <w14:solidFill>
              <w14:schemeClr w14:val="tx1"/>
            </w14:solidFill>
          </w14:textFill>
        </w:rPr>
      </w:pPr>
      <w:r>
        <w:rPr>
          <w:color w:val="000000" w:themeColor="text1"/>
          <w14:textFill>
            <w14:solidFill>
              <w14:schemeClr w14:val="tx1"/>
            </w14:solidFill>
          </w14:textFill>
        </w:rPr>
        <w:object>
          <v:shape id="_x0000_i1025" o:spt="75" type="#_x0000_t75" style="height:294.1pt;width:340.3pt;" o:ole="t" filled="f" o:preferrelative="t" stroked="f" coordsize="21600,21600">
            <v:path/>
            <v:fill on="f" focussize="0,0"/>
            <v:stroke on="f" joinstyle="miter"/>
            <v:imagedata r:id="rId27" o:title=""/>
            <o:lock v:ext="edit" aspectratio="t"/>
            <w10:wrap type="none"/>
            <w10:anchorlock/>
          </v:shape>
          <o:OLEObject Type="Embed" ProgID="Visio.Drawing.15" ShapeID="_x0000_i1025" DrawAspect="Content" ObjectID="_1468075725" r:id="rId26">
            <o:LockedField>false</o:LockedField>
          </o:OLEObject>
        </w:object>
      </w:r>
    </w:p>
    <w:p w14:paraId="1EC2296D">
      <w:pPr>
        <w:spacing w:line="240" w:lineRule="auto"/>
        <w:ind w:firstLine="42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图1</w:t>
      </w:r>
      <w:r>
        <w:rPr>
          <w:color w:val="000000" w:themeColor="text1"/>
          <w:sz w:val="21"/>
          <w:szCs w:val="21"/>
          <w14:textFill>
            <w14:solidFill>
              <w14:schemeClr w14:val="tx1"/>
            </w14:solidFill>
          </w14:textFill>
        </w:rPr>
        <w:t xml:space="preserve"> </w:t>
      </w:r>
      <w:r>
        <w:rPr>
          <w:rFonts w:hint="eastAsia"/>
          <w:color w:val="000000" w:themeColor="text1"/>
          <w:sz w:val="21"/>
          <w:szCs w:val="21"/>
          <w14:textFill>
            <w14:solidFill>
              <w14:schemeClr w14:val="tx1"/>
            </w14:solidFill>
          </w14:textFill>
        </w:rPr>
        <w:t>“污废水零直排区”建设设计与施工工作流程</w:t>
      </w:r>
    </w:p>
    <w:p w14:paraId="26A738A4">
      <w:pPr>
        <w:widowControl/>
        <w:spacing w:line="240" w:lineRule="auto"/>
        <w:ind w:firstLine="0" w:firstLineChars="0"/>
        <w:jc w:val="left"/>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br w:type="page"/>
      </w:r>
    </w:p>
    <w:p w14:paraId="747DDD9B">
      <w:pPr>
        <w:pStyle w:val="54"/>
        <w:spacing w:before="312" w:beforeLines="0" w:after="312" w:afterLines="0"/>
      </w:pPr>
      <w:bookmarkStart w:id="26" w:name="_Toc11960"/>
      <w:r>
        <w:rPr>
          <w:rFonts w:hint="eastAsia"/>
        </w:rPr>
        <w:t>5</w:t>
      </w:r>
      <w:r>
        <w:t xml:space="preserve"> </w:t>
      </w:r>
      <w:r>
        <w:rPr>
          <w:rFonts w:hint="eastAsia"/>
        </w:rPr>
        <w:t>工程设计</w:t>
      </w:r>
      <w:bookmarkEnd w:id="26"/>
    </w:p>
    <w:p w14:paraId="2E17EBD4">
      <w:pPr>
        <w:pStyle w:val="56"/>
        <w:spacing w:before="163" w:after="163"/>
      </w:pPr>
      <w:bookmarkStart w:id="27" w:name="_Toc26850"/>
      <w:r>
        <w:rPr>
          <w:rFonts w:hint="eastAsia"/>
        </w:rPr>
        <w:t>5</w:t>
      </w:r>
      <w:r>
        <w:t xml:space="preserve">.1 </w:t>
      </w:r>
      <w:r>
        <w:rPr>
          <w:rFonts w:hint="eastAsia"/>
        </w:rPr>
        <w:t>主要排水户</w:t>
      </w:r>
      <w:bookmarkEnd w:id="27"/>
    </w:p>
    <w:p w14:paraId="0E52A3E2">
      <w:pPr>
        <w:pStyle w:val="57"/>
        <w:spacing w:before="163" w:after="163"/>
        <w:rPr>
          <w:rFonts w:hAnsi="黑体" w:cs="宋体"/>
        </w:rPr>
      </w:pPr>
      <w:r>
        <w:rPr>
          <w:rFonts w:hint="eastAsia" w:hAnsi="黑体" w:cs="宋体"/>
        </w:rPr>
        <w:t>5</w:t>
      </w:r>
      <w:r>
        <w:rPr>
          <w:rFonts w:hAnsi="黑体" w:cs="宋体"/>
        </w:rPr>
        <w:t xml:space="preserve">.1.1 </w:t>
      </w:r>
      <w:r>
        <w:rPr>
          <w:rFonts w:hint="eastAsia" w:hAnsi="黑体" w:cs="宋体"/>
        </w:rPr>
        <w:t>工业园区（工业集聚区）类</w:t>
      </w:r>
    </w:p>
    <w:p w14:paraId="520BB8CC">
      <w:pPr>
        <w:pStyle w:val="35"/>
        <w:spacing w:before="163" w:beforeLines="50" w:after="163" w:afterLines="50"/>
        <w:ind w:firstLine="0" w:firstLineChars="0"/>
        <w:rPr>
          <w:rFonts w:ascii="黑体" w:hAnsi="黑体" w:eastAsia="黑体"/>
        </w:rPr>
      </w:pPr>
      <w:r>
        <w:rPr>
          <w:rFonts w:ascii="黑体" w:hAnsi="黑体" w:eastAsia="黑体"/>
        </w:rPr>
        <w:t xml:space="preserve">5.1.1.1 </w:t>
      </w:r>
      <w:r>
        <w:rPr>
          <w:rFonts w:hint="eastAsia" w:ascii="黑体" w:hAnsi="黑体" w:eastAsia="黑体"/>
        </w:rPr>
        <w:t>一般要求</w:t>
      </w:r>
    </w:p>
    <w:p w14:paraId="06C8C69E">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）工业企业应根据污废水性质、浓度、类型等进行分流、分质、分类收集和处理；有相关要求的行业按照各自要求设计和建设。</w:t>
      </w:r>
    </w:p>
    <w:p w14:paraId="436D310E">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w:t>
      </w:r>
      <w:r>
        <w:rPr>
          <w:rFonts w:hint="eastAsia"/>
          <w:color w:val="000000" w:themeColor="text1"/>
          <w:sz w:val="21"/>
          <w:szCs w:val="21"/>
          <w14:textFill>
            <w14:solidFill>
              <w14:schemeClr w14:val="tx1"/>
            </w14:solidFill>
          </w14:textFill>
        </w:rPr>
        <w:t>）工业企业内部管网收集系统应在企业用地范围红线内，各类排水管网应布置合理，走向、分布、标识清晰。</w:t>
      </w:r>
    </w:p>
    <w:p w14:paraId="2441DA64">
      <w:pPr>
        <w:pStyle w:val="6"/>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w:t>
      </w:r>
      <w:r>
        <w:rPr>
          <w:rFonts w:hint="eastAsia"/>
          <w:color w:val="000000" w:themeColor="text1"/>
          <w:sz w:val="21"/>
          <w:szCs w:val="21"/>
          <w14:textFill>
            <w14:solidFill>
              <w14:schemeClr w14:val="tx1"/>
            </w14:solidFill>
          </w14:textFill>
        </w:rPr>
        <w:t>）管网应根据废水性质（腐蚀性、水压等）选择适用、耐用优质管材。</w:t>
      </w:r>
    </w:p>
    <w:p w14:paraId="25ABF564">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4</w:t>
      </w:r>
      <w:r>
        <w:rPr>
          <w:rFonts w:hint="eastAsia"/>
          <w:color w:val="000000" w:themeColor="text1"/>
          <w:sz w:val="21"/>
          <w:szCs w:val="21"/>
          <w14:textFill>
            <w14:solidFill>
              <w14:schemeClr w14:val="tx1"/>
            </w14:solidFill>
          </w14:textFill>
        </w:rPr>
        <w:t>）针对管网定期排查发现的管网及辅助设施缺陷进行整改修复，参照G</w:t>
      </w:r>
      <w:r>
        <w:rPr>
          <w:color w:val="000000" w:themeColor="text1"/>
          <w:sz w:val="21"/>
          <w:szCs w:val="21"/>
          <w14:textFill>
            <w14:solidFill>
              <w14:schemeClr w14:val="tx1"/>
            </w14:solidFill>
          </w14:textFill>
        </w:rPr>
        <w:t>B50268/CJJT210</w:t>
      </w:r>
      <w:r>
        <w:rPr>
          <w:rFonts w:hint="eastAsia"/>
          <w:color w:val="000000" w:themeColor="text1"/>
          <w:sz w:val="21"/>
          <w:szCs w:val="21"/>
          <w14:textFill>
            <w14:solidFill>
              <w14:schemeClr w14:val="tx1"/>
            </w14:solidFill>
          </w14:textFill>
        </w:rPr>
        <w:t>实施。</w:t>
      </w:r>
    </w:p>
    <w:p w14:paraId="36067FC6">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5</w:t>
      </w:r>
      <w:r>
        <w:rPr>
          <w:rFonts w:hint="eastAsia"/>
          <w:color w:val="000000" w:themeColor="text1"/>
          <w:sz w:val="21"/>
          <w:szCs w:val="21"/>
          <w14:textFill>
            <w14:solidFill>
              <w14:schemeClr w14:val="tx1"/>
            </w14:solidFill>
          </w14:textFill>
        </w:rPr>
        <w:t>）工业企业只设置1个生产性废水总排放口，原则上设置1个雨水总排放口，并规范化废水排放口及标识牌。</w:t>
      </w:r>
    </w:p>
    <w:p w14:paraId="27F82A8A">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6</w:t>
      </w:r>
      <w:r>
        <w:rPr>
          <w:rFonts w:hint="eastAsia"/>
          <w:color w:val="000000" w:themeColor="text1"/>
          <w:sz w:val="21"/>
          <w:szCs w:val="21"/>
          <w14:textFill>
            <w14:solidFill>
              <w14:schemeClr w14:val="tx1"/>
            </w14:solidFill>
          </w14:textFill>
        </w:rPr>
        <w:t>）设区的市生态环境主管部门依法确定的重点排污单位应当安装、使用污染物排放自动监测设备及其附属设施，并与生态环境主管部门的监控平台联网。</w:t>
      </w:r>
    </w:p>
    <w:p w14:paraId="1CFAA6E6">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7</w:t>
      </w:r>
      <w:r>
        <w:rPr>
          <w:rFonts w:hint="eastAsia"/>
          <w:color w:val="000000" w:themeColor="text1"/>
          <w:sz w:val="21"/>
          <w:szCs w:val="21"/>
          <w14:textFill>
            <w14:solidFill>
              <w14:schemeClr w14:val="tx1"/>
            </w14:solidFill>
          </w14:textFill>
        </w:rPr>
        <w:t>） 重污染行业应对受污染区块的径流污染进行收集和处理，其他企业宜进行径流污染收集和处理。</w:t>
      </w:r>
    </w:p>
    <w:p w14:paraId="7519B45D">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8</w:t>
      </w:r>
      <w:r>
        <w:rPr>
          <w:rFonts w:hint="eastAsia"/>
          <w:color w:val="000000" w:themeColor="text1"/>
          <w:sz w:val="21"/>
          <w:szCs w:val="21"/>
          <w14:textFill>
            <w14:solidFill>
              <w14:schemeClr w14:val="tx1"/>
            </w14:solidFill>
          </w14:textFill>
        </w:rPr>
        <w:t>）企业雨水排放口宜配套相关自动监测设备。</w:t>
      </w:r>
    </w:p>
    <w:p w14:paraId="135DA851">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9</w:t>
      </w:r>
      <w:r>
        <w:rPr>
          <w:rFonts w:hint="eastAsia"/>
          <w:color w:val="000000" w:themeColor="text1"/>
          <w:sz w:val="21"/>
          <w:szCs w:val="21"/>
          <w14:textFill>
            <w14:solidFill>
              <w14:schemeClr w14:val="tx1"/>
            </w14:solidFill>
          </w14:textFill>
        </w:rPr>
        <w:t>）重污染行业应设置事故应急池，事故应急池池容的计算方法可按 GB 50483 中的有关规定。其他企业可依据相关管理要求建设事故应急设施。</w:t>
      </w:r>
    </w:p>
    <w:p w14:paraId="4BD67ECF">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10</w:t>
      </w:r>
      <w:r>
        <w:rPr>
          <w:rFonts w:hint="eastAsia"/>
          <w:color w:val="000000" w:themeColor="text1"/>
          <w:sz w:val="21"/>
          <w:szCs w:val="21"/>
          <w14:textFill>
            <w14:solidFill>
              <w14:schemeClr w14:val="tx1"/>
            </w14:solidFill>
          </w14:textFill>
        </w:rPr>
        <w:t>）厂区内拖把清洗池、员工洗手槽等散装龙头区域的废水应纳入相应的污水管网。</w:t>
      </w:r>
    </w:p>
    <w:p w14:paraId="5A66255C">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11</w:t>
      </w: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GB8978</w:t>
      </w:r>
      <w:r>
        <w:rPr>
          <w:rFonts w:hint="eastAsia"/>
          <w:color w:val="000000" w:themeColor="text1"/>
          <w:sz w:val="21"/>
          <w:szCs w:val="21"/>
          <w14:textFill>
            <w14:solidFill>
              <w14:schemeClr w14:val="tx1"/>
            </w14:solidFill>
          </w14:textFill>
        </w:rPr>
        <w:t>规定的第一类污染物应在车间处理达标后再进入废水处理系统。</w:t>
      </w:r>
    </w:p>
    <w:p w14:paraId="2126F23F">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12</w:t>
      </w:r>
      <w:r>
        <w:rPr>
          <w:rFonts w:hint="eastAsia"/>
          <w:color w:val="000000" w:themeColor="text1"/>
          <w:sz w:val="21"/>
          <w:szCs w:val="21"/>
          <w14:textFill>
            <w14:solidFill>
              <w14:schemeClr w14:val="tx1"/>
            </w14:solidFill>
          </w14:textFill>
        </w:rPr>
        <w:t>）园区及企业内的生活污水参照“生活小区类”的要求进行改造建设。</w:t>
      </w:r>
    </w:p>
    <w:p w14:paraId="05124416">
      <w:pPr>
        <w:pStyle w:val="35"/>
        <w:spacing w:before="163" w:beforeLines="50" w:after="163" w:afterLines="50"/>
        <w:ind w:firstLine="0" w:firstLineChars="0"/>
        <w:rPr>
          <w:rFonts w:ascii="黑体" w:hAnsi="黑体" w:eastAsia="黑体"/>
        </w:rPr>
      </w:pPr>
      <w:r>
        <w:rPr>
          <w:rFonts w:ascii="黑体" w:hAnsi="黑体" w:eastAsia="黑体"/>
        </w:rPr>
        <w:t xml:space="preserve">5.1.1.2 </w:t>
      </w:r>
      <w:r>
        <w:rPr>
          <w:rFonts w:hint="eastAsia" w:ascii="黑体" w:hAnsi="黑体" w:eastAsia="黑体"/>
        </w:rPr>
        <w:t>工业园区（集聚区）要求</w:t>
      </w:r>
    </w:p>
    <w:p w14:paraId="34F81A4F">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原则上雨、污废水管网应覆盖园区内所有排水企业。</w:t>
      </w:r>
    </w:p>
    <w:p w14:paraId="3C1AD906">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）宜对工业废水实施“一厂一管”、“多厂专管”输送。</w:t>
      </w:r>
    </w:p>
    <w:p w14:paraId="799C0299">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w:t>
      </w:r>
      <w:r>
        <w:rPr>
          <w:rFonts w:hint="eastAsia"/>
          <w:color w:val="000000" w:themeColor="text1"/>
          <w:sz w:val="21"/>
          <w:szCs w:val="21"/>
          <w14:textFill>
            <w14:solidFill>
              <w14:schemeClr w14:val="tx1"/>
            </w14:solidFill>
          </w14:textFill>
        </w:rPr>
        <w:t>）有条件的园区，推进未受污染雨水的资源化利用，污废水资源化利用、梯级利用和循环使用。</w:t>
      </w:r>
    </w:p>
    <w:p w14:paraId="19A63FDF">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w:t>
      </w:r>
      <w:r>
        <w:rPr>
          <w:rFonts w:hint="eastAsia"/>
          <w:color w:val="000000" w:themeColor="text1"/>
          <w:sz w:val="21"/>
          <w:szCs w:val="21"/>
          <w14:textFill>
            <w14:solidFill>
              <w14:schemeClr w14:val="tx1"/>
            </w14:solidFill>
          </w14:textFill>
        </w:rPr>
        <w:t>）应根据行业类型和实际管理需求，设置园区集中事故应急池、径流污染收集池等。</w:t>
      </w:r>
    </w:p>
    <w:p w14:paraId="57CB06AF">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4</w:t>
      </w:r>
      <w:r>
        <w:rPr>
          <w:rFonts w:hint="eastAsia"/>
          <w:color w:val="000000" w:themeColor="text1"/>
          <w:sz w:val="21"/>
          <w:szCs w:val="21"/>
          <w14:textFill>
            <w14:solidFill>
              <w14:schemeClr w14:val="tx1"/>
            </w14:solidFill>
          </w14:textFill>
        </w:rPr>
        <w:t>）专业化的电镀园区按照行业要求实施分质分流、专管输送和集中预处理。</w:t>
      </w:r>
    </w:p>
    <w:p w14:paraId="298018F7">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5</w:t>
      </w:r>
      <w:r>
        <w:rPr>
          <w:rFonts w:hint="eastAsia"/>
          <w:color w:val="000000" w:themeColor="text1"/>
          <w:sz w:val="21"/>
          <w:szCs w:val="21"/>
          <w14:textFill>
            <w14:solidFill>
              <w14:schemeClr w14:val="tx1"/>
            </w14:solidFill>
          </w14:textFill>
        </w:rPr>
        <w:t>）专业化的印染、化工园区应严格按照国家、行业相关标准要求开展废水收集和处理，避免特征污染物、有毒有害物质稀释排放。</w:t>
      </w:r>
    </w:p>
    <w:p w14:paraId="639F1769">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6</w:t>
      </w:r>
      <w:r>
        <w:rPr>
          <w:rFonts w:hint="eastAsia"/>
          <w:color w:val="000000" w:themeColor="text1"/>
          <w:sz w:val="21"/>
          <w:szCs w:val="21"/>
          <w14:textFill>
            <w14:solidFill>
              <w14:schemeClr w14:val="tx1"/>
            </w14:solidFill>
          </w14:textFill>
        </w:rPr>
        <w:t>）涉重污染行业的园区按要求建设地下水监测井，定期开展水质监测。</w:t>
      </w:r>
    </w:p>
    <w:p w14:paraId="6DDAA23F">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7</w:t>
      </w:r>
      <w:r>
        <w:rPr>
          <w:rFonts w:hint="eastAsia"/>
          <w:color w:val="000000" w:themeColor="text1"/>
          <w:sz w:val="21"/>
          <w:szCs w:val="21"/>
          <w14:textFill>
            <w14:solidFill>
              <w14:schemeClr w14:val="tx1"/>
            </w14:solidFill>
          </w14:textFill>
        </w:rPr>
        <w:t>）属于重污染行业的企业，在存在废水泄漏风险的重点区域按要求设置地下水监测井。</w:t>
      </w:r>
    </w:p>
    <w:p w14:paraId="0BBD3F8C">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8</w:t>
      </w:r>
      <w:r>
        <w:rPr>
          <w:rFonts w:hint="eastAsia"/>
          <w:color w:val="000000" w:themeColor="text1"/>
          <w:sz w:val="21"/>
          <w:szCs w:val="21"/>
          <w14:textFill>
            <w14:solidFill>
              <w14:schemeClr w14:val="tx1"/>
            </w14:solidFill>
          </w14:textFill>
        </w:rPr>
        <w:t>）园区内企业雨、污废水纳管排放的，原则上不得设置入河排污口和入河排水口（特殊用途的雨水排放口除外）。</w:t>
      </w:r>
    </w:p>
    <w:p w14:paraId="09D64CBE">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9</w:t>
      </w:r>
      <w:r>
        <w:rPr>
          <w:rFonts w:hint="eastAsia"/>
          <w:color w:val="000000" w:themeColor="text1"/>
          <w:sz w:val="21"/>
          <w:szCs w:val="21"/>
          <w14:textFill>
            <w14:solidFill>
              <w14:schemeClr w14:val="tx1"/>
            </w14:solidFill>
          </w14:textFill>
        </w:rPr>
        <w:t>）工业企业应向园区集中，工业园区的污水和废水应单独收集处理，其尾水不应排入市政污水管道和雨水管渠。分散式工业废水处理达到环境排放标准的尾水，不应排入市政污水管道。</w:t>
      </w:r>
    </w:p>
    <w:p w14:paraId="794D312D">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10</w:t>
      </w:r>
      <w:r>
        <w:rPr>
          <w:rFonts w:hint="eastAsia"/>
          <w:color w:val="000000" w:themeColor="text1"/>
          <w:sz w:val="21"/>
          <w:szCs w:val="21"/>
          <w14:textFill>
            <w14:solidFill>
              <w14:schemeClr w14:val="tx1"/>
            </w14:solidFill>
          </w14:textFill>
        </w:rPr>
        <w:t>）依托城镇集中污水处理设施处理的，经评估，园区工业废水对出水水质达标排放存在影响的，应限期退出并规划建设园区工业废水集中处理设施。</w:t>
      </w:r>
    </w:p>
    <w:p w14:paraId="77F4F381">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br w:type="page"/>
      </w:r>
    </w:p>
    <w:p w14:paraId="0FF798B4">
      <w:pPr>
        <w:pStyle w:val="35"/>
        <w:spacing w:before="163" w:beforeLines="50" w:after="163" w:afterLines="50"/>
        <w:ind w:firstLine="0" w:firstLineChars="0"/>
        <w:rPr>
          <w:rFonts w:ascii="黑体" w:hAnsi="黑体" w:eastAsia="黑体"/>
        </w:rPr>
      </w:pPr>
      <w:r>
        <w:rPr>
          <w:rFonts w:ascii="黑体" w:hAnsi="黑体" w:eastAsia="黑体"/>
        </w:rPr>
        <w:t xml:space="preserve">5.1.1.3 </w:t>
      </w:r>
      <w:r>
        <w:rPr>
          <w:rFonts w:hint="eastAsia" w:ascii="黑体" w:hAnsi="黑体" w:eastAsia="黑体"/>
        </w:rPr>
        <w:t>重点</w:t>
      </w:r>
      <w:r>
        <w:rPr>
          <w:rFonts w:ascii="黑体" w:hAnsi="黑体" w:eastAsia="黑体"/>
        </w:rPr>
        <w:t>行业要求</w:t>
      </w:r>
    </w:p>
    <w:p w14:paraId="55ECF4AC">
      <w:pPr>
        <w:pStyle w:val="35"/>
        <w:ind w:firstLine="420"/>
        <w:rPr>
          <w:bCs/>
        </w:rPr>
      </w:pPr>
      <w:r>
        <w:rPr>
          <w:rFonts w:hint="eastAsia"/>
        </w:rPr>
        <w:t>1）</w:t>
      </w:r>
      <w:r>
        <w:t>化工</w:t>
      </w:r>
    </w:p>
    <w:p w14:paraId="3C4EAC36">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化工企业应依据实际情况，符合包括但不限于以下要求：</w:t>
      </w:r>
    </w:p>
    <w:p w14:paraId="7A8389D3">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a)</w:t>
      </w:r>
      <w:r>
        <w:rPr>
          <w:rFonts w:hint="eastAsia"/>
          <w:color w:val="000000" w:themeColor="text1"/>
          <w:sz w:val="21"/>
          <w:szCs w:val="21"/>
          <w14:textFill>
            <w14:solidFill>
              <w14:schemeClr w14:val="tx1"/>
            </w14:solidFill>
          </w14:textFill>
        </w:rPr>
        <w:t>影响达标排放和后续生化处理的重金属、高盐、高磷、高氨氮、高毒及难降解等废水应配套有效的预处理设施；</w:t>
      </w:r>
    </w:p>
    <w:p w14:paraId="5D4536D7">
      <w:pPr>
        <w:spacing w:line="240" w:lineRule="auto"/>
        <w:ind w:firstLine="420"/>
        <w:rPr>
          <w:color w:val="FF0000"/>
          <w:sz w:val="21"/>
          <w:szCs w:val="21"/>
        </w:rPr>
      </w:pPr>
      <w:r>
        <w:rPr>
          <w:color w:val="FF0000"/>
          <w:sz w:val="21"/>
          <w:szCs w:val="21"/>
          <w:highlight w:val="yellow"/>
        </w:rPr>
        <w:t>b</w:t>
      </w:r>
      <w:r>
        <w:rPr>
          <w:rFonts w:hint="eastAsia"/>
          <w:color w:val="FF0000"/>
          <w:sz w:val="21"/>
          <w:szCs w:val="21"/>
          <w:highlight w:val="yellow"/>
        </w:rPr>
        <w:t>) 工艺废水收集管网应采用明管敷设或架空敷设，宜采用管廊架空；</w:t>
      </w:r>
    </w:p>
    <w:p w14:paraId="12F101DB">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c</w:t>
      </w:r>
      <w:r>
        <w:rPr>
          <w:rFonts w:hint="eastAsia"/>
          <w:color w:val="000000" w:themeColor="text1"/>
          <w:sz w:val="21"/>
          <w:szCs w:val="21"/>
          <w14:textFill>
            <w14:solidFill>
              <w14:schemeClr w14:val="tx1"/>
            </w14:solidFill>
          </w14:textFill>
        </w:rPr>
        <w:t>) 地面冲洗水应设置满足防腐、防渗等要求的导流沟；</w:t>
      </w:r>
    </w:p>
    <w:p w14:paraId="03D17CAD">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d) 储罐区、固废堆场等易受污染区域应进行防渗处理并符合 GB/T 50934，设置围堰和配备导流设施；</w:t>
      </w:r>
    </w:p>
    <w:p w14:paraId="4D0CCC42">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e</w:t>
      </w:r>
      <w:r>
        <w:rPr>
          <w:rFonts w:hint="eastAsia"/>
          <w:color w:val="000000" w:themeColor="text1"/>
          <w:sz w:val="21"/>
          <w:szCs w:val="21"/>
          <w14:textFill>
            <w14:solidFill>
              <w14:schemeClr w14:val="tx1"/>
            </w14:solidFill>
          </w14:textFill>
        </w:rPr>
        <w:t>) 循环冷却水排污水、化学水制水排污水、蒸汽发生器排污水、余热锅炉排污水等应排入废水管网；</w:t>
      </w:r>
    </w:p>
    <w:p w14:paraId="0215B743">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f</w:t>
      </w:r>
      <w:r>
        <w:rPr>
          <w:rFonts w:hint="eastAsia"/>
          <w:color w:val="000000" w:themeColor="text1"/>
          <w:sz w:val="21"/>
          <w:szCs w:val="21"/>
          <w14:textFill>
            <w14:solidFill>
              <w14:schemeClr w14:val="tx1"/>
            </w14:solidFill>
          </w14:textFill>
        </w:rPr>
        <w:t>) 企业内污水处理设施应设置综合调节池，并配搅拌系统。</w:t>
      </w:r>
    </w:p>
    <w:p w14:paraId="61EE0B16">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g</w:t>
      </w:r>
      <w:r>
        <w:rPr>
          <w:rFonts w:hint="eastAsia"/>
          <w:color w:val="000000" w:themeColor="text1"/>
          <w:sz w:val="21"/>
          <w:szCs w:val="21"/>
          <w14:textFill>
            <w14:solidFill>
              <w14:schemeClr w14:val="tx1"/>
            </w14:solidFill>
          </w14:textFill>
        </w:rPr>
        <w:t>）石化工业行业主要废水处理可行技术参照附录</w:t>
      </w:r>
      <w:r>
        <w:rPr>
          <w:color w:val="000000" w:themeColor="text1"/>
          <w:sz w:val="21"/>
          <w:szCs w:val="21"/>
          <w14:textFill>
            <w14:solidFill>
              <w14:schemeClr w14:val="tx1"/>
            </w14:solidFill>
          </w14:textFill>
        </w:rPr>
        <w:t>A</w:t>
      </w:r>
      <w:r>
        <w:rPr>
          <w:rFonts w:hint="eastAsia"/>
          <w:color w:val="000000" w:themeColor="text1"/>
          <w:sz w:val="21"/>
          <w:szCs w:val="21"/>
          <w14:textFill>
            <w14:solidFill>
              <w14:schemeClr w14:val="tx1"/>
            </w14:solidFill>
          </w14:textFill>
        </w:rPr>
        <w:t>表A.2。</w:t>
      </w:r>
    </w:p>
    <w:p w14:paraId="6B290030">
      <w:pPr>
        <w:pStyle w:val="35"/>
        <w:ind w:firstLine="420"/>
      </w:pPr>
      <w:r>
        <w:t>2</w:t>
      </w:r>
      <w:r>
        <w:rPr>
          <w:rFonts w:hint="eastAsia"/>
        </w:rPr>
        <w:t>）</w:t>
      </w:r>
      <w:r>
        <w:t>电镀</w:t>
      </w:r>
    </w:p>
    <w:p w14:paraId="224B2CBF">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专业化电镀园区、电镀企业应依据实际情况，符合包括但不限于以下要求：</w:t>
      </w:r>
    </w:p>
    <w:p w14:paraId="2E98DD78">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a) 按管理需求设置铜、锌、镍、铬、银、含氰、前处理、综合（车间地面、湿区收集水）、中水回用、应急、预留等分质分流管网，每股废水单独收集至独立的污水处理设施进行处理；</w:t>
      </w:r>
    </w:p>
    <w:p w14:paraId="458EB5B9">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b</w:t>
      </w:r>
      <w:r>
        <w:rPr>
          <w:rFonts w:hint="eastAsia"/>
          <w:color w:val="000000" w:themeColor="text1"/>
          <w:sz w:val="21"/>
          <w:szCs w:val="21"/>
          <w14:textFill>
            <w14:solidFill>
              <w14:schemeClr w14:val="tx1"/>
            </w14:solidFill>
          </w14:textFill>
        </w:rPr>
        <w:t>) 车间地面应作防腐、防渗、耐酸、耐碱、耐热等处理，并符合 GB/T 50046 要求，车间内实施干湿区分离；</w:t>
      </w:r>
    </w:p>
    <w:p w14:paraId="4A3F8E38">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c</w:t>
      </w:r>
      <w:r>
        <w:rPr>
          <w:rFonts w:hint="eastAsia"/>
          <w:color w:val="000000" w:themeColor="text1"/>
          <w:sz w:val="21"/>
          <w:szCs w:val="21"/>
          <w14:textFill>
            <w14:solidFill>
              <w14:schemeClr w14:val="tx1"/>
            </w14:solidFill>
          </w14:textFill>
        </w:rPr>
        <w:t>) 车间内的各类日常清洗污水（如地面冲洗水、员工洗手等）和应急防护清洗等分散产生的污废水应按照生产性废水来处理；</w:t>
      </w:r>
    </w:p>
    <w:p w14:paraId="62059197">
      <w:pPr>
        <w:spacing w:line="240" w:lineRule="auto"/>
        <w:ind w:firstLine="420"/>
        <w:rPr>
          <w:color w:val="FF0000"/>
          <w:sz w:val="21"/>
          <w:szCs w:val="21"/>
          <w:highlight w:val="yellow"/>
        </w:rPr>
      </w:pPr>
      <w:r>
        <w:rPr>
          <w:color w:val="FF0000"/>
          <w:sz w:val="21"/>
          <w:szCs w:val="21"/>
          <w:highlight w:val="yellow"/>
        </w:rPr>
        <w:t>d</w:t>
      </w:r>
      <w:r>
        <w:rPr>
          <w:rFonts w:hint="eastAsia"/>
          <w:color w:val="FF0000"/>
          <w:sz w:val="21"/>
          <w:szCs w:val="21"/>
          <w:highlight w:val="yellow"/>
        </w:rPr>
        <w:t>) 废水管网宜采用架空敷设。</w:t>
      </w:r>
    </w:p>
    <w:p w14:paraId="33494A29">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e</w:t>
      </w:r>
      <w:r>
        <w:rPr>
          <w:rFonts w:hint="eastAsia"/>
          <w:color w:val="000000" w:themeColor="text1"/>
          <w:sz w:val="21"/>
          <w:szCs w:val="21"/>
          <w14:textFill>
            <w14:solidFill>
              <w14:schemeClr w14:val="tx1"/>
            </w14:solidFill>
          </w14:textFill>
        </w:rPr>
        <w:t>）电镀行业主要废水处理可行技术参照附录</w:t>
      </w:r>
      <w:r>
        <w:rPr>
          <w:color w:val="000000" w:themeColor="text1"/>
          <w:sz w:val="21"/>
          <w:szCs w:val="21"/>
          <w14:textFill>
            <w14:solidFill>
              <w14:schemeClr w14:val="tx1"/>
            </w14:solidFill>
          </w14:textFill>
        </w:rPr>
        <w:t>A</w:t>
      </w:r>
      <w:r>
        <w:rPr>
          <w:rFonts w:hint="eastAsia"/>
          <w:color w:val="000000" w:themeColor="text1"/>
          <w:sz w:val="21"/>
          <w:szCs w:val="21"/>
          <w14:textFill>
            <w14:solidFill>
              <w14:schemeClr w14:val="tx1"/>
            </w14:solidFill>
          </w14:textFill>
        </w:rPr>
        <w:t>表A.</w:t>
      </w:r>
      <w:r>
        <w:rPr>
          <w:color w:val="000000" w:themeColor="text1"/>
          <w:sz w:val="21"/>
          <w:szCs w:val="21"/>
          <w14:textFill>
            <w14:solidFill>
              <w14:schemeClr w14:val="tx1"/>
            </w14:solidFill>
          </w14:textFill>
        </w:rPr>
        <w:t>3</w:t>
      </w:r>
      <w:r>
        <w:rPr>
          <w:rFonts w:hint="eastAsia"/>
          <w:color w:val="000000" w:themeColor="text1"/>
          <w:sz w:val="21"/>
          <w:szCs w:val="21"/>
          <w14:textFill>
            <w14:solidFill>
              <w14:schemeClr w14:val="tx1"/>
            </w14:solidFill>
          </w14:textFill>
        </w:rPr>
        <w:t>。</w:t>
      </w:r>
    </w:p>
    <w:p w14:paraId="44D12B74">
      <w:pPr>
        <w:pStyle w:val="35"/>
        <w:ind w:firstLine="420"/>
      </w:pPr>
      <w:r>
        <w:t>3</w:t>
      </w:r>
      <w:r>
        <w:rPr>
          <w:rFonts w:hint="eastAsia"/>
        </w:rPr>
        <w:t>）</w:t>
      </w:r>
      <w:r>
        <w:t>印染</w:t>
      </w:r>
    </w:p>
    <w:p w14:paraId="30298F29">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印染企业应依据实际情况，符合包括但不限于以下要求：</w:t>
      </w:r>
    </w:p>
    <w:p w14:paraId="401E462D">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a) 工艺废水、公用工程排污水、作业场地冲洗水、废气处理产生的废水、生活污水及径流污染等应收集后进入企业污废水处理站；</w:t>
      </w:r>
    </w:p>
    <w:p w14:paraId="53C7B1EF">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b) 未受污染的冷却水、冷凝水、屋面清洁雨水等宜回用资源化；</w:t>
      </w:r>
    </w:p>
    <w:p w14:paraId="6A687FC5">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c) 碱减量废水单独设置预处理工艺，回收对苯二甲酸；</w:t>
      </w:r>
    </w:p>
    <w:p w14:paraId="7CCE64FC">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d) 印花制版工艺产生的含铬、镍废水经单独预处理，达到车间排放口标准排放；</w:t>
      </w:r>
    </w:p>
    <w:p w14:paraId="4B51C202">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e) 含蜡染或使用尿素的工艺废水配套强化脱氮工艺；含高浓度磷酸盐助剂的工艺废水配套化学除磷工艺；低盐、低色度、轻污染废水宜单独收集单独处理后回用；</w:t>
      </w:r>
    </w:p>
    <w:p w14:paraId="17DCF3F2">
      <w:pPr>
        <w:spacing w:line="240" w:lineRule="auto"/>
        <w:ind w:firstLine="420"/>
        <w:rPr>
          <w:color w:val="FF0000"/>
          <w:sz w:val="21"/>
          <w:szCs w:val="21"/>
          <w:highlight w:val="yellow"/>
        </w:rPr>
      </w:pPr>
      <w:r>
        <w:rPr>
          <w:rFonts w:hint="eastAsia"/>
          <w:color w:val="FF0000"/>
          <w:sz w:val="21"/>
          <w:szCs w:val="21"/>
          <w:highlight w:val="yellow"/>
        </w:rPr>
        <w:t>f) 废水管网宜采用明渠套明管敷设，未明管敷设的设置地下水监测井；</w:t>
      </w:r>
    </w:p>
    <w:p w14:paraId="5B7BD942">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g</w:t>
      </w:r>
      <w:r>
        <w:rPr>
          <w:rFonts w:hint="eastAsia"/>
          <w:color w:val="000000" w:themeColor="text1"/>
          <w:sz w:val="21"/>
          <w:szCs w:val="21"/>
          <w14:textFill>
            <w14:solidFill>
              <w14:schemeClr w14:val="tx1"/>
            </w14:solidFill>
          </w14:textFill>
        </w:rPr>
        <w:t>) 废水处理系统宜设置除锑、苯胺类等污染物的处理工艺。</w:t>
      </w:r>
    </w:p>
    <w:p w14:paraId="5BBFEEF7">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h</w:t>
      </w:r>
      <w:r>
        <w:rPr>
          <w:rFonts w:hint="eastAsia"/>
          <w:color w:val="000000" w:themeColor="text1"/>
          <w:sz w:val="21"/>
          <w:szCs w:val="21"/>
          <w14:textFill>
            <w14:solidFill>
              <w14:schemeClr w14:val="tx1"/>
            </w14:solidFill>
          </w14:textFill>
        </w:rPr>
        <w:t>）纺织印染行业主要废水处理可行技术参照附录</w:t>
      </w:r>
      <w:r>
        <w:rPr>
          <w:color w:val="000000" w:themeColor="text1"/>
          <w:sz w:val="21"/>
          <w:szCs w:val="21"/>
          <w14:textFill>
            <w14:solidFill>
              <w14:schemeClr w14:val="tx1"/>
            </w14:solidFill>
          </w14:textFill>
        </w:rPr>
        <w:t>A</w:t>
      </w:r>
      <w:r>
        <w:rPr>
          <w:rFonts w:hint="eastAsia"/>
          <w:color w:val="000000" w:themeColor="text1"/>
          <w:sz w:val="21"/>
          <w:szCs w:val="21"/>
          <w14:textFill>
            <w14:solidFill>
              <w14:schemeClr w14:val="tx1"/>
            </w14:solidFill>
          </w14:textFill>
        </w:rPr>
        <w:t>表A.</w:t>
      </w:r>
      <w:r>
        <w:rPr>
          <w:color w:val="000000" w:themeColor="text1"/>
          <w:sz w:val="21"/>
          <w:szCs w:val="21"/>
          <w14:textFill>
            <w14:solidFill>
              <w14:schemeClr w14:val="tx1"/>
            </w14:solidFill>
          </w14:textFill>
        </w:rPr>
        <w:t>4</w:t>
      </w:r>
      <w:r>
        <w:rPr>
          <w:rFonts w:hint="eastAsia"/>
          <w:color w:val="000000" w:themeColor="text1"/>
          <w:sz w:val="21"/>
          <w:szCs w:val="21"/>
          <w14:textFill>
            <w14:solidFill>
              <w14:schemeClr w14:val="tx1"/>
            </w14:solidFill>
          </w14:textFill>
        </w:rPr>
        <w:t>。</w:t>
      </w:r>
    </w:p>
    <w:p w14:paraId="3F1D44F5">
      <w:pPr>
        <w:pStyle w:val="35"/>
        <w:ind w:firstLine="420"/>
      </w:pPr>
      <w:r>
        <w:t>4</w:t>
      </w:r>
      <w:r>
        <w:rPr>
          <w:rFonts w:hint="eastAsia"/>
        </w:rPr>
        <w:t>）</w:t>
      </w:r>
      <w:r>
        <w:t>制革</w:t>
      </w:r>
    </w:p>
    <w:p w14:paraId="19CF6DEB">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制革企业应依据实际情况，符合包括但不限于以下要求：</w:t>
      </w:r>
    </w:p>
    <w:p w14:paraId="67B8664D">
      <w:pPr>
        <w:spacing w:line="240" w:lineRule="auto"/>
        <w:ind w:firstLine="420"/>
        <w:rPr>
          <w:color w:val="FF0000"/>
          <w:sz w:val="21"/>
          <w:szCs w:val="21"/>
          <w:highlight w:val="yellow"/>
        </w:rPr>
      </w:pPr>
      <w:r>
        <w:rPr>
          <w:rFonts w:hint="eastAsia"/>
          <w:color w:val="FF0000"/>
          <w:sz w:val="21"/>
          <w:szCs w:val="21"/>
          <w:highlight w:val="yellow"/>
        </w:rPr>
        <w:t>a) 铬鞣、复鞣、含铬染色、水洗等工段产生的含铬废水收集管网采用明管敷设；</w:t>
      </w:r>
    </w:p>
    <w:p w14:paraId="300675F3">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b) 排放铬鞣废水的转鼓与含铬废水专用收集管直接连接，转鼓下方应设置专门的导流沟，防止其他废水混入；</w:t>
      </w:r>
    </w:p>
    <w:p w14:paraId="2B8B0A66">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c) 含铬废水、脱脂废水、含硫废水应单独设置预处理工艺；</w:t>
      </w:r>
    </w:p>
    <w:p w14:paraId="5BEBFBE1">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d) 准备工段（包含洗皮、脱毛、浸灰等）废水应在车间外设置暂存池，并进行格栅预处理；</w:t>
      </w:r>
    </w:p>
    <w:p w14:paraId="47C5E5A5">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e) 原料皮仓库、作业场所要干燥并配有排水沟；湿加工车间应设有排水沟。</w:t>
      </w:r>
    </w:p>
    <w:p w14:paraId="28848545">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f</w:t>
      </w:r>
      <w:r>
        <w:rPr>
          <w:rFonts w:hint="eastAsia"/>
          <w:color w:val="000000" w:themeColor="text1"/>
          <w:sz w:val="21"/>
          <w:szCs w:val="21"/>
          <w14:textFill>
            <w14:solidFill>
              <w14:schemeClr w14:val="tx1"/>
            </w14:solidFill>
          </w14:textFill>
        </w:rPr>
        <w:t>）制革行业主要废水处理可行技术参照附录</w:t>
      </w:r>
      <w:r>
        <w:rPr>
          <w:color w:val="000000" w:themeColor="text1"/>
          <w:sz w:val="21"/>
          <w:szCs w:val="21"/>
          <w14:textFill>
            <w14:solidFill>
              <w14:schemeClr w14:val="tx1"/>
            </w14:solidFill>
          </w14:textFill>
        </w:rPr>
        <w:t>A</w:t>
      </w:r>
      <w:r>
        <w:rPr>
          <w:rFonts w:hint="eastAsia"/>
          <w:color w:val="000000" w:themeColor="text1"/>
          <w:sz w:val="21"/>
          <w:szCs w:val="21"/>
          <w14:textFill>
            <w14:solidFill>
              <w14:schemeClr w14:val="tx1"/>
            </w14:solidFill>
          </w14:textFill>
        </w:rPr>
        <w:t>表A.</w:t>
      </w:r>
      <w:r>
        <w:rPr>
          <w:color w:val="000000" w:themeColor="text1"/>
          <w:sz w:val="21"/>
          <w:szCs w:val="21"/>
          <w14:textFill>
            <w14:solidFill>
              <w14:schemeClr w14:val="tx1"/>
            </w14:solidFill>
          </w14:textFill>
        </w:rPr>
        <w:t>5</w:t>
      </w:r>
      <w:r>
        <w:rPr>
          <w:rFonts w:hint="eastAsia"/>
          <w:color w:val="000000" w:themeColor="text1"/>
          <w:sz w:val="21"/>
          <w:szCs w:val="21"/>
          <w14:textFill>
            <w14:solidFill>
              <w14:schemeClr w14:val="tx1"/>
            </w14:solidFill>
          </w14:textFill>
        </w:rPr>
        <w:t>。</w:t>
      </w:r>
    </w:p>
    <w:p w14:paraId="20266E4B">
      <w:pPr>
        <w:pStyle w:val="35"/>
        <w:ind w:firstLine="420"/>
      </w:pPr>
      <w:r>
        <w:t>5</w:t>
      </w:r>
      <w:r>
        <w:rPr>
          <w:rFonts w:hint="eastAsia"/>
        </w:rPr>
        <w:t>）</w:t>
      </w:r>
      <w:r>
        <w:t>铅蓄电池</w:t>
      </w:r>
    </w:p>
    <w:p w14:paraId="09377F8A">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铅蓄电池企业应依据实际情况，符合包括但不限于以下要求：</w:t>
      </w:r>
    </w:p>
    <w:p w14:paraId="2F1CA0F9">
      <w:pPr>
        <w:spacing w:line="240" w:lineRule="auto"/>
        <w:ind w:firstLine="420"/>
        <w:rPr>
          <w:color w:val="FF0000"/>
          <w:sz w:val="21"/>
          <w:szCs w:val="21"/>
          <w:highlight w:val="yellow"/>
        </w:rPr>
      </w:pPr>
      <w:r>
        <w:rPr>
          <w:rFonts w:hint="eastAsia"/>
          <w:color w:val="FF0000"/>
          <w:sz w:val="21"/>
          <w:szCs w:val="21"/>
          <w:highlight w:val="yellow"/>
        </w:rPr>
        <w:t>a) 含铅废水应采用明渠套明管敷设或架空敷设输送；</w:t>
      </w:r>
    </w:p>
    <w:p w14:paraId="7D42449D">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b) 含铅工艺废水、作业场地冲洗水、固废堆场渗滤液、废气喷淋吸收废水、生活污水及径流污染等应分类收集；</w:t>
      </w:r>
    </w:p>
    <w:p w14:paraId="28169D3B">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c) 生产区域内工作服洗衣废水、员工换装淋浴废水、洗手池、拖把池废水等含铅生活污水应纳入工业废水收集处理系统；</w:t>
      </w:r>
    </w:p>
    <w:p w14:paraId="7298B094">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d) 含铅物料转运密集区、罐区等易受铅污染区域的径流污染应进入含铅废水处理系统；</w:t>
      </w:r>
    </w:p>
    <w:p w14:paraId="47F1B948">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e) 和膏区、内化成区等车间地面，含铅废水收集池及相关废水输送管网等均采用防渗垫层与环氧树脂浇缝，做好防渗防漏处理。</w:t>
      </w:r>
    </w:p>
    <w:p w14:paraId="0325BABC">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f</w:t>
      </w:r>
      <w:r>
        <w:rPr>
          <w:rFonts w:hint="eastAsia"/>
          <w:color w:val="000000" w:themeColor="text1"/>
          <w:sz w:val="21"/>
          <w:szCs w:val="21"/>
          <w14:textFill>
            <w14:solidFill>
              <w14:schemeClr w14:val="tx1"/>
            </w14:solidFill>
          </w14:textFill>
        </w:rPr>
        <w:t>）</w:t>
      </w:r>
      <w:r>
        <w:rPr>
          <w:rFonts w:hint="eastAsia"/>
          <w:color w:val="000000" w:themeColor="text1"/>
          <w:sz w:val="21"/>
          <w:szCs w:val="21"/>
          <w:highlight w:val="yellow"/>
          <w:lang w:val="en-US" w:eastAsia="zh-CN"/>
          <w14:textFill>
            <w14:solidFill>
              <w14:schemeClr w14:val="tx1"/>
            </w14:solidFill>
          </w14:textFill>
        </w:rPr>
        <w:t xml:space="preserve"> </w:t>
      </w:r>
      <w:r>
        <w:rPr>
          <w:rFonts w:hint="eastAsia"/>
          <w:color w:val="FF0000"/>
          <w:sz w:val="21"/>
          <w:szCs w:val="21"/>
          <w:highlight w:val="yellow"/>
          <w:lang w:val="en-US" w:eastAsia="zh-CN"/>
        </w:rPr>
        <w:t>铅蓄电池</w:t>
      </w:r>
      <w:r>
        <w:rPr>
          <w:rFonts w:hint="eastAsia"/>
          <w:color w:val="000000" w:themeColor="text1"/>
          <w:sz w:val="21"/>
          <w:szCs w:val="21"/>
          <w14:textFill>
            <w14:solidFill>
              <w14:schemeClr w14:val="tx1"/>
            </w14:solidFill>
          </w14:textFill>
        </w:rPr>
        <w:t>主要废水处理可行技术参照附录</w:t>
      </w:r>
      <w:r>
        <w:rPr>
          <w:color w:val="000000" w:themeColor="text1"/>
          <w:sz w:val="21"/>
          <w:szCs w:val="21"/>
          <w14:textFill>
            <w14:solidFill>
              <w14:schemeClr w14:val="tx1"/>
            </w14:solidFill>
          </w14:textFill>
        </w:rPr>
        <w:t>A</w:t>
      </w:r>
      <w:r>
        <w:rPr>
          <w:rFonts w:hint="eastAsia"/>
          <w:color w:val="000000" w:themeColor="text1"/>
          <w:sz w:val="21"/>
          <w:szCs w:val="21"/>
          <w14:textFill>
            <w14:solidFill>
              <w14:schemeClr w14:val="tx1"/>
            </w14:solidFill>
          </w14:textFill>
        </w:rPr>
        <w:t>表A.</w:t>
      </w:r>
      <w:r>
        <w:rPr>
          <w:color w:val="000000" w:themeColor="text1"/>
          <w:sz w:val="21"/>
          <w:szCs w:val="21"/>
          <w14:textFill>
            <w14:solidFill>
              <w14:schemeClr w14:val="tx1"/>
            </w14:solidFill>
          </w14:textFill>
        </w:rPr>
        <w:t>6</w:t>
      </w:r>
      <w:r>
        <w:rPr>
          <w:rFonts w:hint="eastAsia"/>
          <w:color w:val="000000" w:themeColor="text1"/>
          <w:sz w:val="21"/>
          <w:szCs w:val="21"/>
          <w14:textFill>
            <w14:solidFill>
              <w14:schemeClr w14:val="tx1"/>
            </w14:solidFill>
          </w14:textFill>
        </w:rPr>
        <w:t>。</w:t>
      </w:r>
    </w:p>
    <w:p w14:paraId="09230590">
      <w:pPr>
        <w:pStyle w:val="35"/>
        <w:ind w:firstLine="420"/>
        <w:rPr>
          <w:color w:val="FF0000"/>
          <w:highlight w:val="yellow"/>
        </w:rPr>
      </w:pPr>
      <w:r>
        <w:rPr>
          <w:color w:val="FF0000"/>
          <w:highlight w:val="yellow"/>
        </w:rPr>
        <w:t>6</w:t>
      </w:r>
      <w:r>
        <w:rPr>
          <w:rFonts w:hint="eastAsia"/>
          <w:color w:val="FF0000"/>
          <w:highlight w:val="yellow"/>
        </w:rPr>
        <w:t>）</w:t>
      </w:r>
      <w:r>
        <w:rPr>
          <w:color w:val="FF0000"/>
          <w:highlight w:val="yellow"/>
        </w:rPr>
        <w:t>造纸</w:t>
      </w:r>
    </w:p>
    <w:p w14:paraId="7E893264">
      <w:pPr>
        <w:spacing w:line="240" w:lineRule="auto"/>
        <w:ind w:firstLine="420"/>
        <w:rPr>
          <w:color w:val="FF0000"/>
          <w:sz w:val="21"/>
          <w:szCs w:val="21"/>
          <w:highlight w:val="yellow"/>
        </w:rPr>
      </w:pPr>
      <w:r>
        <w:rPr>
          <w:rFonts w:hint="eastAsia"/>
          <w:color w:val="FF0000"/>
          <w:sz w:val="21"/>
          <w:szCs w:val="21"/>
          <w:highlight w:val="yellow"/>
        </w:rPr>
        <w:t>造纸企业应依据实际情况，符合包括但不限于以下要求：</w:t>
      </w:r>
    </w:p>
    <w:p w14:paraId="1F4A8F20">
      <w:pPr>
        <w:spacing w:line="240" w:lineRule="auto"/>
        <w:ind w:firstLine="420"/>
        <w:rPr>
          <w:color w:val="FF0000"/>
          <w:sz w:val="21"/>
          <w:szCs w:val="21"/>
          <w:highlight w:val="yellow"/>
        </w:rPr>
      </w:pPr>
      <w:r>
        <w:rPr>
          <w:rFonts w:hint="eastAsia"/>
          <w:color w:val="FF0000"/>
          <w:sz w:val="21"/>
          <w:szCs w:val="21"/>
          <w:highlight w:val="yellow"/>
          <w:lang w:val="en-US" w:eastAsia="zh-CN"/>
        </w:rPr>
        <w:t>a</w:t>
      </w:r>
      <w:r>
        <w:rPr>
          <w:rFonts w:hint="eastAsia"/>
          <w:color w:val="FF0000"/>
          <w:sz w:val="21"/>
          <w:szCs w:val="21"/>
          <w:highlight w:val="yellow"/>
        </w:rPr>
        <w:t>)</w:t>
      </w:r>
      <w:r>
        <w:rPr>
          <w:color w:val="FF0000"/>
          <w:sz w:val="21"/>
          <w:szCs w:val="21"/>
          <w:highlight w:val="yellow"/>
        </w:rPr>
        <w:t xml:space="preserve"> </w:t>
      </w:r>
      <w:r>
        <w:rPr>
          <w:rFonts w:hint="eastAsia"/>
          <w:color w:val="FF0000"/>
          <w:sz w:val="21"/>
          <w:szCs w:val="21"/>
          <w:highlight w:val="yellow"/>
        </w:rPr>
        <w:t>废水管网宜采用明渠套明管方式敷设；</w:t>
      </w:r>
    </w:p>
    <w:p w14:paraId="75C19AE9">
      <w:pPr>
        <w:spacing w:line="240" w:lineRule="auto"/>
        <w:ind w:firstLine="420"/>
        <w:rPr>
          <w:color w:val="000000" w:themeColor="text1"/>
          <w:sz w:val="21"/>
          <w:szCs w:val="21"/>
          <w14:textFill>
            <w14:solidFill>
              <w14:schemeClr w14:val="tx1"/>
            </w14:solidFill>
          </w14:textFill>
        </w:rPr>
      </w:pPr>
      <w:r>
        <w:rPr>
          <w:rFonts w:hint="eastAsia"/>
          <w:color w:val="FF0000"/>
          <w:sz w:val="21"/>
          <w:szCs w:val="21"/>
          <w:lang w:val="en-US" w:eastAsia="zh-CN"/>
        </w:rPr>
        <w:t>b</w:t>
      </w:r>
      <w:r>
        <w:rPr>
          <w:rFonts w:hint="eastAsia"/>
          <w:color w:val="FF0000"/>
          <w:sz w:val="21"/>
          <w:szCs w:val="21"/>
        </w:rPr>
        <w:t>)</w:t>
      </w:r>
      <w:r>
        <w:rPr>
          <w:rFonts w:hint="eastAsia"/>
          <w:color w:val="000000" w:themeColor="text1"/>
          <w:sz w:val="21"/>
          <w:szCs w:val="21"/>
          <w14:textFill>
            <w14:solidFill>
              <w14:schemeClr w14:val="tx1"/>
            </w14:solidFill>
          </w14:textFill>
        </w:rPr>
        <w:t xml:space="preserve"> 物料堆放区、干料投（拌）车间周围等可能受污染区域径流污染进入企业废水处理站，配备自动雨水切换系统。</w:t>
      </w:r>
    </w:p>
    <w:p w14:paraId="5A1FD5D5">
      <w:pPr>
        <w:spacing w:line="240" w:lineRule="auto"/>
        <w:ind w:firstLine="420"/>
        <w:rPr>
          <w:color w:val="000000" w:themeColor="text1"/>
          <w:sz w:val="21"/>
          <w:szCs w:val="21"/>
          <w14:textFill>
            <w14:solidFill>
              <w14:schemeClr w14:val="tx1"/>
            </w14:solidFill>
          </w14:textFill>
        </w:rPr>
      </w:pPr>
      <w:r>
        <w:rPr>
          <w:rFonts w:hint="eastAsia"/>
          <w:color w:val="FF0000"/>
          <w:sz w:val="21"/>
          <w:szCs w:val="21"/>
          <w:lang w:val="en-US" w:eastAsia="zh-CN"/>
        </w:rPr>
        <w:t xml:space="preserve">c) </w:t>
      </w:r>
      <w:r>
        <w:rPr>
          <w:rFonts w:hint="eastAsia"/>
          <w:color w:val="000000" w:themeColor="text1"/>
          <w:sz w:val="21"/>
          <w:szCs w:val="21"/>
          <w14:textFill>
            <w14:solidFill>
              <w14:schemeClr w14:val="tx1"/>
            </w14:solidFill>
          </w14:textFill>
        </w:rPr>
        <w:t>造纸和纸制品业主要废水处理可行技术参照附录</w:t>
      </w:r>
      <w:r>
        <w:rPr>
          <w:color w:val="000000" w:themeColor="text1"/>
          <w:sz w:val="21"/>
          <w:szCs w:val="21"/>
          <w14:textFill>
            <w14:solidFill>
              <w14:schemeClr w14:val="tx1"/>
            </w14:solidFill>
          </w14:textFill>
        </w:rPr>
        <w:t>A</w:t>
      </w:r>
      <w:r>
        <w:rPr>
          <w:rFonts w:hint="eastAsia"/>
          <w:color w:val="000000" w:themeColor="text1"/>
          <w:sz w:val="21"/>
          <w:szCs w:val="21"/>
          <w14:textFill>
            <w14:solidFill>
              <w14:schemeClr w14:val="tx1"/>
            </w14:solidFill>
          </w14:textFill>
        </w:rPr>
        <w:t>表A.</w:t>
      </w:r>
      <w:r>
        <w:rPr>
          <w:color w:val="000000" w:themeColor="text1"/>
          <w:sz w:val="21"/>
          <w:szCs w:val="21"/>
          <w14:textFill>
            <w14:solidFill>
              <w14:schemeClr w14:val="tx1"/>
            </w14:solidFill>
          </w14:textFill>
        </w:rPr>
        <w:t>7</w:t>
      </w:r>
      <w:r>
        <w:rPr>
          <w:rFonts w:hint="eastAsia"/>
          <w:color w:val="000000" w:themeColor="text1"/>
          <w:sz w:val="21"/>
          <w:szCs w:val="21"/>
          <w14:textFill>
            <w14:solidFill>
              <w14:schemeClr w14:val="tx1"/>
            </w14:solidFill>
          </w14:textFill>
        </w:rPr>
        <w:t>。</w:t>
      </w:r>
    </w:p>
    <w:p w14:paraId="2C81E73A">
      <w:pPr>
        <w:pStyle w:val="35"/>
        <w:ind w:firstLine="420"/>
        <w:rPr>
          <w:rFonts w:hint="default" w:eastAsia="宋体"/>
          <w:color w:val="FF0000"/>
          <w:highlight w:val="yellow"/>
          <w:lang w:val="en-US" w:eastAsia="zh-CN"/>
        </w:rPr>
      </w:pPr>
      <w:r>
        <w:rPr>
          <w:color w:val="FF0000"/>
          <w:highlight w:val="yellow"/>
        </w:rPr>
        <w:t>7</w:t>
      </w:r>
      <w:r>
        <w:rPr>
          <w:rFonts w:hint="eastAsia"/>
          <w:color w:val="FF0000"/>
          <w:highlight w:val="yellow"/>
        </w:rPr>
        <w:t>）</w:t>
      </w:r>
      <w:r>
        <w:rPr>
          <w:rFonts w:hint="eastAsia"/>
          <w:color w:val="FF0000"/>
          <w:highlight w:val="yellow"/>
          <w:lang w:val="en-US" w:eastAsia="zh-CN"/>
        </w:rPr>
        <w:t>光伏设备制造</w:t>
      </w:r>
    </w:p>
    <w:p w14:paraId="33910E3E">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光伏企业应依据实际情况，符合包括但不限于以下要求：</w:t>
      </w:r>
    </w:p>
    <w:p w14:paraId="4FC6EEB2">
      <w:pPr>
        <w:numPr>
          <w:ilvl w:val="0"/>
          <w:numId w:val="2"/>
        </w:numPr>
        <w:spacing w:line="240" w:lineRule="auto"/>
        <w:ind w:firstLine="420"/>
        <w:rPr>
          <w:rFonts w:hint="eastAsia"/>
          <w:color w:val="FF0000"/>
          <w:sz w:val="21"/>
          <w:szCs w:val="21"/>
          <w:highlight w:val="yellow"/>
          <w:lang w:val="en-US" w:eastAsia="zh-CN"/>
        </w:rPr>
      </w:pPr>
      <w:r>
        <w:rPr>
          <w:rFonts w:hint="eastAsia"/>
          <w:color w:val="FF0000"/>
          <w:sz w:val="21"/>
          <w:szCs w:val="21"/>
          <w:highlight w:val="yellow"/>
          <w:lang w:val="en-US" w:eastAsia="zh-CN"/>
        </w:rPr>
        <w:t>车间冷却水宜循环使用，冷却水排放应经处理；</w:t>
      </w:r>
    </w:p>
    <w:p w14:paraId="6E669E99">
      <w:pPr>
        <w:numPr>
          <w:ilvl w:val="0"/>
          <w:numId w:val="2"/>
        </w:numPr>
        <w:spacing w:line="240" w:lineRule="auto"/>
        <w:ind w:firstLine="420"/>
        <w:rPr>
          <w:rFonts w:hint="eastAsia"/>
          <w:color w:val="FF0000"/>
          <w:sz w:val="21"/>
          <w:szCs w:val="21"/>
          <w:highlight w:val="yellow"/>
          <w:lang w:val="en-US" w:eastAsia="zh-CN"/>
        </w:rPr>
      </w:pPr>
      <w:r>
        <w:rPr>
          <w:rFonts w:hint="eastAsia"/>
          <w:color w:val="FF0000"/>
          <w:sz w:val="21"/>
          <w:szCs w:val="21"/>
          <w:highlight w:val="yellow"/>
          <w:lang w:val="en-US" w:eastAsia="zh-CN"/>
        </w:rPr>
        <w:t>制绒、刻蚀车间纯水制备浓水应收集处理；</w:t>
      </w:r>
    </w:p>
    <w:p w14:paraId="27068047">
      <w:pPr>
        <w:numPr>
          <w:ilvl w:val="0"/>
          <w:numId w:val="2"/>
        </w:numPr>
        <w:spacing w:line="240" w:lineRule="auto"/>
        <w:ind w:left="0" w:leftChars="0" w:firstLine="420" w:firstLineChars="200"/>
        <w:rPr>
          <w:rFonts w:hint="eastAsia"/>
          <w:color w:val="FF0000"/>
          <w:sz w:val="21"/>
          <w:szCs w:val="21"/>
          <w:highlight w:val="yellow"/>
          <w:lang w:val="en-US" w:eastAsia="zh-CN"/>
        </w:rPr>
      </w:pPr>
      <w:r>
        <w:rPr>
          <w:rFonts w:hint="eastAsia"/>
          <w:color w:val="FF0000"/>
          <w:sz w:val="21"/>
          <w:szCs w:val="21"/>
          <w:highlight w:val="yellow"/>
          <w:lang w:val="en-US" w:eastAsia="zh-CN"/>
        </w:rPr>
        <w:t>废气处理系统产生的高氨废水应进行脱氮处理；</w:t>
      </w:r>
    </w:p>
    <w:p w14:paraId="26728C18">
      <w:pPr>
        <w:numPr>
          <w:ilvl w:val="0"/>
          <w:numId w:val="2"/>
        </w:numPr>
        <w:spacing w:line="240" w:lineRule="auto"/>
        <w:ind w:left="0" w:leftChars="0" w:firstLine="420" w:firstLineChars="200"/>
        <w:rPr>
          <w:rFonts w:hint="default"/>
          <w:color w:val="FF0000"/>
          <w:sz w:val="21"/>
          <w:szCs w:val="21"/>
          <w:highlight w:val="yellow"/>
          <w:lang w:val="en-US" w:eastAsia="zh-CN"/>
        </w:rPr>
      </w:pPr>
      <w:r>
        <w:rPr>
          <w:rFonts w:hint="eastAsia"/>
          <w:color w:val="FF0000"/>
          <w:sz w:val="21"/>
          <w:szCs w:val="21"/>
          <w:highlight w:val="yellow"/>
          <w:lang w:val="en-US" w:eastAsia="zh-CN"/>
        </w:rPr>
        <w:t>酸洗车间含氟废水应单独收集，统一纳入厂区除氟处理系统处理；</w:t>
      </w:r>
    </w:p>
    <w:p w14:paraId="415FFA8E">
      <w:pPr>
        <w:spacing w:line="240" w:lineRule="auto"/>
        <w:ind w:firstLine="420"/>
        <w:rPr>
          <w:rFonts w:hint="eastAsia"/>
          <w:color w:val="FF0000"/>
          <w:sz w:val="21"/>
          <w:szCs w:val="21"/>
          <w:highlight w:val="yellow"/>
          <w:lang w:eastAsia="zh-CN"/>
        </w:rPr>
      </w:pPr>
      <w:r>
        <w:rPr>
          <w:rFonts w:hint="eastAsia"/>
          <w:color w:val="FF0000"/>
          <w:sz w:val="21"/>
          <w:szCs w:val="21"/>
          <w:highlight w:val="yellow"/>
        </w:rPr>
        <w:t>e）废水管道应架空敷设或管沟敷设</w:t>
      </w:r>
      <w:r>
        <w:rPr>
          <w:rFonts w:hint="eastAsia"/>
          <w:color w:val="FF0000"/>
          <w:sz w:val="21"/>
          <w:szCs w:val="21"/>
          <w:highlight w:val="yellow"/>
          <w:lang w:eastAsia="zh-CN"/>
        </w:rPr>
        <w:t>。</w:t>
      </w:r>
    </w:p>
    <w:p w14:paraId="2E4813DA">
      <w:pPr>
        <w:spacing w:line="240" w:lineRule="auto"/>
        <w:ind w:firstLine="420"/>
        <w:rPr>
          <w:rFonts w:hint="eastAsia"/>
          <w:color w:val="FF0000"/>
          <w:sz w:val="21"/>
          <w:szCs w:val="21"/>
          <w:highlight w:val="yellow"/>
          <w:lang w:eastAsia="zh-CN"/>
        </w:rPr>
      </w:pPr>
      <w:r>
        <w:rPr>
          <w:rFonts w:hint="eastAsia"/>
          <w:color w:val="FF0000"/>
          <w:sz w:val="21"/>
          <w:szCs w:val="21"/>
          <w:highlight w:val="yellow"/>
          <w:lang w:val="en-US" w:eastAsia="zh-CN"/>
        </w:rPr>
        <w:t>f</w:t>
      </w:r>
      <w:r>
        <w:rPr>
          <w:rFonts w:hint="eastAsia"/>
          <w:color w:val="FF0000"/>
          <w:sz w:val="21"/>
          <w:szCs w:val="21"/>
          <w:highlight w:val="yellow"/>
        </w:rPr>
        <w:t>）</w:t>
      </w:r>
      <w:r>
        <w:rPr>
          <w:rFonts w:hint="eastAsia"/>
          <w:color w:val="FF0000"/>
          <w:sz w:val="21"/>
          <w:szCs w:val="21"/>
          <w:highlight w:val="yellow"/>
          <w:lang w:val="en-US" w:eastAsia="zh-CN"/>
        </w:rPr>
        <w:t>光伏设备制造</w:t>
      </w:r>
      <w:r>
        <w:rPr>
          <w:rFonts w:hint="eastAsia"/>
          <w:color w:val="FF0000"/>
          <w:sz w:val="21"/>
          <w:szCs w:val="21"/>
          <w:highlight w:val="yellow"/>
        </w:rPr>
        <w:t>主要废水处理可行技术参照附录</w:t>
      </w:r>
      <w:r>
        <w:rPr>
          <w:color w:val="FF0000"/>
          <w:sz w:val="21"/>
          <w:szCs w:val="21"/>
          <w:highlight w:val="yellow"/>
        </w:rPr>
        <w:t>A</w:t>
      </w:r>
      <w:r>
        <w:rPr>
          <w:rFonts w:hint="eastAsia"/>
          <w:color w:val="FF0000"/>
          <w:sz w:val="21"/>
          <w:szCs w:val="21"/>
          <w:highlight w:val="yellow"/>
        </w:rPr>
        <w:t>表A.</w:t>
      </w:r>
      <w:r>
        <w:rPr>
          <w:color w:val="FF0000"/>
          <w:sz w:val="21"/>
          <w:szCs w:val="21"/>
          <w:highlight w:val="yellow"/>
        </w:rPr>
        <w:t>8</w:t>
      </w:r>
      <w:r>
        <w:rPr>
          <w:rFonts w:hint="eastAsia"/>
          <w:color w:val="FF0000"/>
          <w:sz w:val="21"/>
          <w:szCs w:val="21"/>
          <w:highlight w:val="yellow"/>
        </w:rPr>
        <w:t>。</w:t>
      </w:r>
    </w:p>
    <w:p w14:paraId="268929E3">
      <w:pPr>
        <w:pStyle w:val="35"/>
        <w:ind w:firstLine="420"/>
      </w:pPr>
      <w:r>
        <w:t>8</w:t>
      </w:r>
      <w:r>
        <w:rPr>
          <w:rFonts w:hint="eastAsia"/>
        </w:rPr>
        <w:t>）机械加工制造</w:t>
      </w:r>
    </w:p>
    <w:p w14:paraId="196F684F">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机械加工制造企业应依据实际情况，符合包括但不限于以下要求：</w:t>
      </w:r>
    </w:p>
    <w:p w14:paraId="3F518272">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a</w:t>
      </w: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 xml:space="preserve"> 合理设计废水储存设施，确保废水处理站事故及检修期间生产废水不外排</w:t>
      </w:r>
      <w:r>
        <w:rPr>
          <w:rFonts w:hint="eastAsia"/>
          <w:color w:val="000000" w:themeColor="text1"/>
          <w:sz w:val="21"/>
          <w:szCs w:val="21"/>
          <w14:textFill>
            <w14:solidFill>
              <w14:schemeClr w14:val="tx1"/>
            </w14:solidFill>
          </w14:textFill>
        </w:rPr>
        <w:t>；</w:t>
      </w:r>
    </w:p>
    <w:p w14:paraId="708178EF">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b</w:t>
      </w:r>
      <w:r>
        <w:rPr>
          <w:rFonts w:hint="eastAsia"/>
          <w:color w:val="000000" w:themeColor="text1"/>
          <w:sz w:val="21"/>
          <w:szCs w:val="21"/>
          <w14:textFill>
            <w14:solidFill>
              <w14:schemeClr w14:val="tx1"/>
            </w14:solidFill>
          </w14:textFill>
        </w:rPr>
        <w:t>) 喷漆车间生产废水应在厂内进行处理，满足相关排放标准后排放；含危险废物废水应交由有资质的单位进行安全处置。</w:t>
      </w:r>
    </w:p>
    <w:p w14:paraId="3D459C55">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c</w:t>
      </w:r>
      <w:r>
        <w:rPr>
          <w:rFonts w:hint="eastAsia"/>
          <w:color w:val="000000" w:themeColor="text1"/>
          <w:sz w:val="21"/>
          <w:szCs w:val="21"/>
          <w14:textFill>
            <w14:solidFill>
              <w14:schemeClr w14:val="tx1"/>
            </w14:solidFill>
          </w14:textFill>
        </w:rPr>
        <w:t>) 除尘车间废水宜在厂内进行沉淀处理后循环利用；</w:t>
      </w:r>
    </w:p>
    <w:p w14:paraId="224B19DC">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d</w:t>
      </w:r>
      <w:r>
        <w:rPr>
          <w:rFonts w:hint="eastAsia"/>
          <w:color w:val="000000" w:themeColor="text1"/>
          <w:sz w:val="21"/>
          <w:szCs w:val="21"/>
          <w14:textFill>
            <w14:solidFill>
              <w14:schemeClr w14:val="tx1"/>
            </w14:solidFill>
          </w14:textFill>
        </w:rPr>
        <w:t>) 乳化液配制废水宜与废弃乳化液合并储存、处理；含危险废物废水应交由有资质的单位进行安全处置。</w:t>
      </w:r>
    </w:p>
    <w:p w14:paraId="6148B355">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e</w:t>
      </w:r>
      <w:r>
        <w:rPr>
          <w:rFonts w:hint="eastAsia"/>
          <w:color w:val="000000" w:themeColor="text1"/>
          <w:sz w:val="21"/>
          <w:szCs w:val="21"/>
          <w14:textFill>
            <w14:solidFill>
              <w14:schemeClr w14:val="tx1"/>
            </w14:solidFill>
          </w14:textFill>
        </w:rPr>
        <w:t>）汽车制造业主要废水处理可行技术参照附录</w:t>
      </w:r>
      <w:r>
        <w:rPr>
          <w:color w:val="FF0000"/>
          <w:sz w:val="21"/>
          <w:szCs w:val="21"/>
        </w:rPr>
        <w:t>A</w:t>
      </w:r>
      <w:r>
        <w:rPr>
          <w:rFonts w:hint="eastAsia"/>
          <w:color w:val="FF0000"/>
          <w:sz w:val="21"/>
          <w:szCs w:val="21"/>
        </w:rPr>
        <w:t>表A.</w:t>
      </w:r>
      <w:r>
        <w:rPr>
          <w:rFonts w:hint="eastAsia"/>
          <w:color w:val="FF0000"/>
          <w:sz w:val="21"/>
          <w:szCs w:val="21"/>
          <w:lang w:val="en-US" w:eastAsia="zh-CN"/>
        </w:rPr>
        <w:t>9</w:t>
      </w:r>
      <w:r>
        <w:rPr>
          <w:rFonts w:hint="eastAsia"/>
          <w:color w:val="FF0000"/>
          <w:sz w:val="21"/>
          <w:szCs w:val="21"/>
        </w:rPr>
        <w:t>。</w:t>
      </w:r>
    </w:p>
    <w:p w14:paraId="2A37BA00">
      <w:pPr>
        <w:pStyle w:val="35"/>
        <w:ind w:firstLine="420"/>
      </w:pPr>
      <w:r>
        <w:t>9</w:t>
      </w:r>
      <w:r>
        <w:rPr>
          <w:rFonts w:hint="eastAsia"/>
        </w:rPr>
        <w:t>）农副食品加工</w:t>
      </w:r>
    </w:p>
    <w:p w14:paraId="3098D776">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食品加工制造企业应依据实际情况，符合包括但不限于以下要求：</w:t>
      </w:r>
    </w:p>
    <w:p w14:paraId="3A4751A3">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a）应积极采用节能减排及清洁生产技术，不断改进生产工艺，降低污染物产生量和排放量，防止环境污染；</w:t>
      </w:r>
    </w:p>
    <w:p w14:paraId="0471FFD7">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b) 动物皮毛、果蔬皮等含渣量大的污水应在车间外设置暂存池，进行格栅预处理；</w:t>
      </w:r>
    </w:p>
    <w:p w14:paraId="11B58053">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c</w:t>
      </w: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含油污水排放</w:t>
      </w:r>
      <w:r>
        <w:rPr>
          <w:rFonts w:hint="eastAsia"/>
          <w:color w:val="000000" w:themeColor="text1"/>
          <w:sz w:val="21"/>
          <w:szCs w:val="21"/>
          <w14:textFill>
            <w14:solidFill>
              <w14:schemeClr w14:val="tx1"/>
            </w14:solidFill>
          </w14:textFill>
        </w:rPr>
        <w:t>工段应设置除油设施；</w:t>
      </w:r>
    </w:p>
    <w:p w14:paraId="0BA852AB">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d</w:t>
      </w:r>
      <w:r>
        <w:rPr>
          <w:rFonts w:hint="eastAsia"/>
          <w:color w:val="000000" w:themeColor="text1"/>
          <w:sz w:val="21"/>
          <w:szCs w:val="21"/>
          <w14:textFill>
            <w14:solidFill>
              <w14:schemeClr w14:val="tx1"/>
            </w14:solidFill>
          </w14:textFill>
        </w:rPr>
        <w:t>）加工场所设地面冲洗处宜布设污水导排沟（管），不滞留渍水，避免污水进入雨水管道。</w:t>
      </w:r>
    </w:p>
    <w:p w14:paraId="18A3D68E">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e</w:t>
      </w:r>
      <w:r>
        <w:rPr>
          <w:rFonts w:hint="eastAsia"/>
          <w:color w:val="000000" w:themeColor="text1"/>
          <w:sz w:val="21"/>
          <w:szCs w:val="21"/>
          <w14:textFill>
            <w14:solidFill>
              <w14:schemeClr w14:val="tx1"/>
            </w14:solidFill>
          </w14:textFill>
        </w:rPr>
        <w:t>）屠宰及肉类加工工业废水主要废水处理可行技术参照附录</w:t>
      </w:r>
      <w:r>
        <w:rPr>
          <w:color w:val="FF0000"/>
          <w:sz w:val="21"/>
          <w:szCs w:val="21"/>
        </w:rPr>
        <w:t>A</w:t>
      </w:r>
      <w:r>
        <w:rPr>
          <w:rFonts w:hint="eastAsia"/>
          <w:color w:val="FF0000"/>
          <w:sz w:val="21"/>
          <w:szCs w:val="21"/>
        </w:rPr>
        <w:t>表A.</w:t>
      </w:r>
      <w:r>
        <w:rPr>
          <w:rFonts w:hint="eastAsia"/>
          <w:color w:val="FF0000"/>
          <w:sz w:val="21"/>
          <w:szCs w:val="21"/>
          <w:lang w:val="en-US" w:eastAsia="zh-CN"/>
        </w:rPr>
        <w:t>10</w:t>
      </w:r>
      <w:r>
        <w:rPr>
          <w:rFonts w:hint="eastAsia"/>
          <w:color w:val="FF0000"/>
          <w:sz w:val="21"/>
          <w:szCs w:val="21"/>
        </w:rPr>
        <w:t>。</w:t>
      </w:r>
    </w:p>
    <w:p w14:paraId="6D1047F3">
      <w:pPr>
        <w:pStyle w:val="57"/>
        <w:spacing w:before="163" w:after="163"/>
        <w:rPr>
          <w:rFonts w:hAnsi="黑体" w:cs="宋体"/>
        </w:rPr>
      </w:pPr>
      <w:r>
        <w:rPr>
          <w:rFonts w:hAnsi="黑体" w:cs="宋体"/>
        </w:rPr>
        <w:t xml:space="preserve">5.1.2 </w:t>
      </w:r>
      <w:r>
        <w:rPr>
          <w:rFonts w:hint="eastAsia" w:hAnsi="黑体" w:cs="宋体"/>
        </w:rPr>
        <w:t>生活小区</w:t>
      </w:r>
      <w:r>
        <w:rPr>
          <w:rFonts w:hAnsi="黑体" w:cs="宋体"/>
        </w:rPr>
        <w:t>类</w:t>
      </w:r>
    </w:p>
    <w:p w14:paraId="650F8658">
      <w:pPr>
        <w:spacing w:line="240" w:lineRule="auto"/>
        <w:ind w:firstLine="420"/>
        <w:rPr>
          <w:rFonts w:hint="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1）</w:t>
      </w:r>
      <w:r>
        <w:rPr>
          <w:rFonts w:hint="eastAsia"/>
          <w:color w:val="FF0000"/>
          <w:sz w:val="21"/>
          <w:szCs w:val="21"/>
          <w:lang w:val="en-US" w:eastAsia="zh-CN"/>
        </w:rPr>
        <w:t>新建</w:t>
      </w:r>
      <w:r>
        <w:rPr>
          <w:rFonts w:hint="eastAsia"/>
          <w:color w:val="000000" w:themeColor="text1"/>
          <w:sz w:val="21"/>
          <w:szCs w:val="21"/>
          <w:lang w:val="en-US" w:eastAsia="zh-CN"/>
          <w14:textFill>
            <w14:solidFill>
              <w14:schemeClr w14:val="tx1"/>
            </w14:solidFill>
          </w14:textFill>
        </w:rPr>
        <w:t>生活小区应采用分流制排水体制。</w:t>
      </w:r>
    </w:p>
    <w:p w14:paraId="7524255F">
      <w:pPr>
        <w:spacing w:line="240" w:lineRule="auto"/>
        <w:ind w:firstLine="420"/>
        <w:rPr>
          <w:b/>
          <w:color w:val="000000" w:themeColor="text1"/>
          <w:sz w:val="21"/>
          <w:szCs w:val="21"/>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2</w:t>
      </w:r>
      <w:r>
        <w:rPr>
          <w:rFonts w:hint="eastAsia"/>
          <w:color w:val="000000" w:themeColor="text1"/>
          <w:sz w:val="21"/>
          <w:szCs w:val="21"/>
          <w14:textFill>
            <w14:solidFill>
              <w14:schemeClr w14:val="tx1"/>
            </w14:solidFill>
          </w14:textFill>
        </w:rPr>
        <w:t>）现有住宅改造过程中在确保污水收集且雨水散排不会形成积水的前提下，雨水宜适当采用散排或雨水</w:t>
      </w:r>
      <w:r>
        <w:rPr>
          <w:rFonts w:hint="eastAsia"/>
          <w:color w:val="FF0000"/>
          <w:sz w:val="21"/>
          <w:szCs w:val="21"/>
          <w:lang w:val="en-US" w:eastAsia="zh-CN"/>
        </w:rPr>
        <w:t>管渠</w:t>
      </w:r>
      <w:r>
        <w:rPr>
          <w:rFonts w:hint="eastAsia"/>
          <w:color w:val="000000" w:themeColor="text1"/>
          <w:sz w:val="21"/>
          <w:szCs w:val="21"/>
          <w14:textFill>
            <w14:solidFill>
              <w14:schemeClr w14:val="tx1"/>
            </w14:solidFill>
          </w14:textFill>
        </w:rPr>
        <w:t>排放，不应进入污水管道。</w:t>
      </w:r>
    </w:p>
    <w:p w14:paraId="30E642C1">
      <w:pPr>
        <w:spacing w:line="240" w:lineRule="auto"/>
        <w:ind w:firstLine="420"/>
        <w:rPr>
          <w:rFonts w:hint="eastAsia"/>
          <w:color w:val="FF0000"/>
          <w:sz w:val="21"/>
          <w:szCs w:val="21"/>
          <w:highlight w:val="yellow"/>
          <w:lang w:val="en-US" w:eastAsia="zh-CN"/>
        </w:rPr>
      </w:pPr>
      <w:r>
        <w:rPr>
          <w:rFonts w:hint="eastAsia"/>
          <w:color w:val="FF0000"/>
          <w:sz w:val="21"/>
          <w:szCs w:val="21"/>
          <w:highlight w:val="yellow"/>
          <w:lang w:val="en-US" w:eastAsia="zh-CN"/>
        </w:rPr>
        <w:t>3</w:t>
      </w:r>
      <w:r>
        <w:rPr>
          <w:rFonts w:hint="eastAsia"/>
          <w:color w:val="FF0000"/>
          <w:sz w:val="21"/>
          <w:szCs w:val="21"/>
          <w:highlight w:val="yellow"/>
        </w:rPr>
        <w:t>）</w:t>
      </w:r>
      <w:r>
        <w:rPr>
          <w:rFonts w:hint="eastAsia"/>
          <w:color w:val="FF0000"/>
          <w:sz w:val="21"/>
          <w:szCs w:val="21"/>
          <w:highlight w:val="yellow"/>
          <w:lang w:val="en-US" w:eastAsia="zh-CN"/>
        </w:rPr>
        <w:t>小区排水立管雨污分流改造参照DB3401T353要求。</w:t>
      </w:r>
    </w:p>
    <w:p w14:paraId="4692468C">
      <w:pPr>
        <w:spacing w:line="240" w:lineRule="auto"/>
        <w:ind w:firstLine="420"/>
        <w:rPr>
          <w:rFonts w:hint="eastAsia"/>
          <w:color w:val="FF0000"/>
          <w:sz w:val="21"/>
          <w:szCs w:val="21"/>
          <w:highlight w:val="yellow"/>
          <w:lang w:val="en-US" w:eastAsia="zh-CN"/>
        </w:rPr>
      </w:pPr>
      <w:r>
        <w:rPr>
          <w:rFonts w:hint="eastAsia"/>
          <w:color w:val="FF0000"/>
          <w:sz w:val="21"/>
          <w:szCs w:val="21"/>
          <w:highlight w:val="yellow"/>
          <w:lang w:val="en-US" w:eastAsia="zh-CN"/>
        </w:rPr>
        <w:t>4）地库、下穿通道等地下空间出入口处的雨水泵排系统，应接入雨水系统；地库洗车台废水应接入污水系统。</w:t>
      </w:r>
    </w:p>
    <w:p w14:paraId="38609001">
      <w:pPr>
        <w:spacing w:line="240" w:lineRule="auto"/>
        <w:ind w:firstLine="420"/>
        <w:rPr>
          <w:rFonts w:hint="default"/>
          <w:color w:val="FF0000"/>
          <w:sz w:val="21"/>
          <w:szCs w:val="21"/>
          <w:highlight w:val="yellow"/>
          <w:lang w:val="en-US" w:eastAsia="zh-CN"/>
        </w:rPr>
      </w:pPr>
      <w:r>
        <w:rPr>
          <w:rFonts w:hint="eastAsia"/>
          <w:color w:val="FF0000"/>
          <w:sz w:val="21"/>
          <w:szCs w:val="21"/>
          <w:highlight w:val="yellow"/>
          <w:lang w:val="en-US" w:eastAsia="zh-CN"/>
        </w:rPr>
        <w:t>5）小区内洗衣台、拖把池应接入污水系统，并防止雨水混入。</w:t>
      </w:r>
    </w:p>
    <w:p w14:paraId="62E4E1C4">
      <w:pPr>
        <w:spacing w:line="240" w:lineRule="auto"/>
        <w:ind w:firstLine="420"/>
        <w:rPr>
          <w:b/>
          <w:color w:val="000000" w:themeColor="text1"/>
          <w:sz w:val="21"/>
          <w:szCs w:val="21"/>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6</w:t>
      </w:r>
      <w:r>
        <w:rPr>
          <w:rFonts w:hint="eastAsia"/>
          <w:color w:val="000000" w:themeColor="text1"/>
          <w:sz w:val="21"/>
          <w:szCs w:val="21"/>
          <w14:textFill>
            <w14:solidFill>
              <w14:schemeClr w14:val="tx1"/>
            </w14:solidFill>
          </w14:textFill>
        </w:rPr>
        <w:t>）现有住宅雨污分流改造过程中因不可抗拒因素（如牵涉住户屋内大面积改造、古村落、危房、近期拆迁、古镇旅游景区等）而造成管网无法开挖、施工的，宜采取可控截流措施或智能分流设施排入公共污水管网。</w:t>
      </w:r>
    </w:p>
    <w:p w14:paraId="27D55D3C">
      <w:pPr>
        <w:pStyle w:val="6"/>
        <w:spacing w:line="240" w:lineRule="auto"/>
        <w:ind w:firstLine="420"/>
        <w:rPr>
          <w:rFonts w:hint="default" w:eastAsiaTheme="minor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7</w:t>
      </w:r>
      <w:r>
        <w:rPr>
          <w:rFonts w:hint="eastAsia"/>
          <w:color w:val="000000" w:themeColor="text1"/>
          <w:sz w:val="21"/>
          <w:szCs w:val="21"/>
          <w14:textFill>
            <w14:solidFill>
              <w14:schemeClr w14:val="tx1"/>
            </w14:solidFill>
          </w14:textFill>
        </w:rPr>
        <w:t>）老旧小区改造时，应将城镇“污水零直排区”的建设内容纳入其改造计划，进行统筹考虑、整体实施。</w:t>
      </w:r>
    </w:p>
    <w:p w14:paraId="1220C45C">
      <w:pPr>
        <w:pStyle w:val="57"/>
        <w:spacing w:before="163" w:after="163"/>
        <w:rPr>
          <w:rFonts w:hAnsi="黑体" w:cs="宋体"/>
        </w:rPr>
      </w:pPr>
      <w:r>
        <w:rPr>
          <w:rFonts w:hAnsi="黑体" w:cs="宋体"/>
        </w:rPr>
        <w:t xml:space="preserve">5.1.3 </w:t>
      </w:r>
      <w:r>
        <w:rPr>
          <w:rFonts w:hint="eastAsia" w:hAnsi="黑体" w:cs="宋体"/>
        </w:rPr>
        <w:t>其他类</w:t>
      </w:r>
    </w:p>
    <w:p w14:paraId="2F30C1CA">
      <w:pPr>
        <w:pStyle w:val="35"/>
        <w:spacing w:before="163" w:beforeLines="50" w:after="163" w:afterLines="50"/>
        <w:ind w:firstLine="0" w:firstLineChars="0"/>
        <w:rPr>
          <w:rFonts w:ascii="黑体" w:hAnsi="黑体" w:eastAsia="黑体"/>
        </w:rPr>
      </w:pPr>
      <w:r>
        <w:rPr>
          <w:rFonts w:hint="eastAsia" w:ascii="黑体" w:hAnsi="黑体" w:eastAsia="黑体"/>
        </w:rPr>
        <w:t>5</w:t>
      </w:r>
      <w:r>
        <w:rPr>
          <w:rFonts w:ascii="黑体" w:hAnsi="黑体" w:eastAsia="黑体"/>
        </w:rPr>
        <w:t xml:space="preserve">.1.3.1 </w:t>
      </w:r>
      <w:r>
        <w:rPr>
          <w:rFonts w:hint="eastAsia" w:ascii="黑体" w:hAnsi="黑体" w:eastAsia="黑体"/>
        </w:rPr>
        <w:t>六小行业及其他排水户</w:t>
      </w:r>
    </w:p>
    <w:p w14:paraId="5E40A6D4">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）餐饮（含餐饮类企业、学校、政府机关、企事业单位、医疗机构的食堂）</w:t>
      </w:r>
    </w:p>
    <w:p w14:paraId="627F2F67">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a) 含油餐饮废水宜与其他排水（生活污水、其他污水）分流；</w:t>
      </w:r>
    </w:p>
    <w:p w14:paraId="352E9A27">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b) 含油污水的餐饮企业或单位应设计安装隔油设施，出水要满足 GB/T 31962 要求；</w:t>
      </w:r>
    </w:p>
    <w:p w14:paraId="26D137D5">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c) 其它污水（如食品原料清洗污水、地面清洁污水、餐具消毒污水等）应设置初级格栅设施（含台盆隔渣滤网等）。</w:t>
      </w:r>
    </w:p>
    <w:p w14:paraId="45223437">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w:t>
      </w:r>
      <w:r>
        <w:rPr>
          <w:rFonts w:hint="eastAsia"/>
          <w:color w:val="000000" w:themeColor="text1"/>
          <w:sz w:val="21"/>
          <w:szCs w:val="21"/>
          <w14:textFill>
            <w14:solidFill>
              <w14:schemeClr w14:val="tx1"/>
            </w14:solidFill>
          </w14:textFill>
        </w:rPr>
        <w:t>）汽车清洗、维修等行业</w:t>
      </w:r>
    </w:p>
    <w:p w14:paraId="3ABC3849">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a) 个体或单位涉洗车的场所应设置沉砂池等预处理设施，产生含油污水的还应隔油设施；</w:t>
      </w:r>
    </w:p>
    <w:p w14:paraId="4A46A163">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b) 符合GB/T 16739.1的汽修企业，应设置相应的设施保障其废水排放符合 GB 26877 要求；</w:t>
      </w:r>
    </w:p>
    <w:p w14:paraId="33BBB47A">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c) 符合GB/T 16739.2的汽修企业，应设置相应的预处理设施保障其废水满足 GB/T 31962 要求后排入公共污水管网。</w:t>
      </w:r>
    </w:p>
    <w:p w14:paraId="1D5FD8B3">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w:t>
      </w:r>
      <w:r>
        <w:rPr>
          <w:rFonts w:hint="eastAsia"/>
          <w:color w:val="000000" w:themeColor="text1"/>
          <w:sz w:val="21"/>
          <w:szCs w:val="21"/>
          <w14:textFill>
            <w14:solidFill>
              <w14:schemeClr w14:val="tx1"/>
            </w14:solidFill>
          </w14:textFill>
        </w:rPr>
        <w:t>）医疗机构</w:t>
      </w:r>
    </w:p>
    <w:p w14:paraId="1AB94704">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a) 传染病和结核病医疗机构、县级及县级以上或 20 张床位及以上的综合医疗机构和其他医疗机构的废水排放应符合 GB 18466 中相关要求进行建设；</w:t>
      </w:r>
    </w:p>
    <w:p w14:paraId="123D23BD">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b) 特殊排水应单独收集进行预处理后，再排入医疗机构污水处理站处理，包括但不限于：</w:t>
      </w:r>
    </w:p>
    <w:p w14:paraId="608B64F3">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——低放射性废水应经衰变池处理；</w:t>
      </w:r>
    </w:p>
    <w:p w14:paraId="5D53F65B">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——涉及洗相室废液的，应对废液进行处理；</w:t>
      </w:r>
    </w:p>
    <w:p w14:paraId="17BAB752">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——涉及口腔科含汞废水的，应进行除汞处理；</w:t>
      </w:r>
    </w:p>
    <w:p w14:paraId="1A71E9EB">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——检验室废水应根据使用化学品的性质单独收集，单独处理；</w:t>
      </w:r>
    </w:p>
    <w:p w14:paraId="1B104083">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——含油污水应设置隔油池处理。</w:t>
      </w:r>
    </w:p>
    <w:p w14:paraId="27B17951">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4</w:t>
      </w:r>
      <w:r>
        <w:rPr>
          <w:rFonts w:hint="eastAsia"/>
          <w:color w:val="000000" w:themeColor="text1"/>
          <w:sz w:val="21"/>
          <w:szCs w:val="21"/>
          <w14:textFill>
            <w14:solidFill>
              <w14:schemeClr w14:val="tx1"/>
            </w14:solidFill>
          </w14:textFill>
        </w:rPr>
        <w:t>）农贸市场、独立的菜市门店、经营生鲜的商场超市</w:t>
      </w:r>
    </w:p>
    <w:p w14:paraId="528A86E3">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a) 新建农贸市场应设置污水处理设施，包括但不限于格栅、隔油设施、初沉池等；</w:t>
      </w:r>
    </w:p>
    <w:p w14:paraId="39F53A3C">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b) 现有农贸市场应根据实际情况设置相应的污水处理设施；</w:t>
      </w:r>
    </w:p>
    <w:p w14:paraId="1797D53A">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c) 经营水产、畜禽肉类、熟食的区域应设置隔渣过滤设施；</w:t>
      </w:r>
    </w:p>
    <w:p w14:paraId="64AD68A2">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d) 产生含油污水食品加工点应设置隔油设施。</w:t>
      </w:r>
    </w:p>
    <w:p w14:paraId="6FF06679">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5</w:t>
      </w:r>
      <w:r>
        <w:rPr>
          <w:rFonts w:hint="eastAsia"/>
          <w:color w:val="000000" w:themeColor="text1"/>
          <w:sz w:val="21"/>
          <w:szCs w:val="21"/>
          <w14:textFill>
            <w14:solidFill>
              <w14:schemeClr w14:val="tx1"/>
            </w14:solidFill>
          </w14:textFill>
        </w:rPr>
        <w:t>）生活垃圾转运站</w:t>
      </w:r>
    </w:p>
    <w:p w14:paraId="77A294BE">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a) 站内应设有垃圾设施冲洗处，布设污水导排沟（管），不滞留渍水；</w:t>
      </w:r>
    </w:p>
    <w:p w14:paraId="15D10A55">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b) 垃圾设施冲洗处应位于室内或建有顶棚处，冲洗污水接入公共污水管网；</w:t>
      </w:r>
    </w:p>
    <w:p w14:paraId="3A0E2B6B">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c) 应设置积污坑或沉砂井等设施，以收集生产作业过程产生的废水；</w:t>
      </w:r>
    </w:p>
    <w:p w14:paraId="3C5BCE3B">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d) 依据 CJJ/T 47 的规定，应设置相应的处理设施对作业过程中产生的污水进行预处理，达标后排入公共污水管网。</w:t>
      </w:r>
    </w:p>
    <w:p w14:paraId="66FBB2C5">
      <w:pPr>
        <w:spacing w:line="240" w:lineRule="auto"/>
        <w:ind w:firstLine="420"/>
        <w:rPr>
          <w:b/>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6</w:t>
      </w:r>
      <w:r>
        <w:rPr>
          <w:rFonts w:hint="eastAsia"/>
          <w:color w:val="000000" w:themeColor="text1"/>
          <w:sz w:val="21"/>
          <w:szCs w:val="21"/>
          <w14:textFill>
            <w14:solidFill>
              <w14:schemeClr w14:val="tx1"/>
            </w14:solidFill>
          </w14:textFill>
        </w:rPr>
        <w:t>）住宿业类、车站类污水宜分类收集、（预）处理后排入公共污水管道；有条件的宜自建污水处理设施预处理。</w:t>
      </w:r>
    </w:p>
    <w:p w14:paraId="451284B2">
      <w:pPr>
        <w:spacing w:line="240" w:lineRule="auto"/>
        <w:ind w:firstLine="420"/>
        <w:rPr>
          <w:b/>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7</w:t>
      </w:r>
      <w:r>
        <w:rPr>
          <w:rFonts w:hint="eastAsia"/>
          <w:color w:val="000000" w:themeColor="text1"/>
          <w:sz w:val="21"/>
          <w:szCs w:val="21"/>
          <w14:textFill>
            <w14:solidFill>
              <w14:schemeClr w14:val="tx1"/>
            </w14:solidFill>
          </w14:textFill>
        </w:rPr>
        <w:t>）淋浴（洗浴）、游泳馆、美容美发、住宿业等容易聚集毛发的场所应设置毛发聚集（器）井（含洗头池初级隔发）。</w:t>
      </w:r>
    </w:p>
    <w:p w14:paraId="4E9604F2">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8</w:t>
      </w:r>
      <w:r>
        <w:rPr>
          <w:rFonts w:hint="eastAsia"/>
          <w:color w:val="000000" w:themeColor="text1"/>
          <w:sz w:val="21"/>
          <w:szCs w:val="21"/>
          <w14:textFill>
            <w14:solidFill>
              <w14:schemeClr w14:val="tx1"/>
            </w14:solidFill>
          </w14:textFill>
        </w:rPr>
        <w:t>）住宅小区商业裙楼所产的污水，单独设置污水管道进行收集，并应根据相应要求设置预处理设施，经处理后排入公共污水管道。</w:t>
      </w:r>
    </w:p>
    <w:p w14:paraId="51D7AC19">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9</w:t>
      </w:r>
      <w:r>
        <w:rPr>
          <w:rFonts w:hint="eastAsia"/>
          <w:color w:val="000000" w:themeColor="text1"/>
          <w:sz w:val="21"/>
          <w:szCs w:val="21"/>
          <w14:textFill>
            <w14:solidFill>
              <w14:schemeClr w14:val="tx1"/>
            </w14:solidFill>
          </w14:textFill>
        </w:rPr>
        <w:t>）因地势、距离等原因无法接入市政污水管道的旅游景区、高速服务区排水应统一收集，并设置独立污水处理设施，确保排水达标排放，鼓励回用。</w:t>
      </w:r>
    </w:p>
    <w:p w14:paraId="375F12C8">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10</w:t>
      </w:r>
      <w:r>
        <w:rPr>
          <w:rFonts w:hint="eastAsia"/>
          <w:color w:val="000000" w:themeColor="text1"/>
          <w:sz w:val="21"/>
          <w:szCs w:val="21"/>
          <w14:textFill>
            <w14:solidFill>
              <w14:schemeClr w14:val="tx1"/>
            </w14:solidFill>
          </w14:textFill>
        </w:rPr>
        <w:t>）加油站等的地下油罐应当使用双层罐或者采取建造防渗池等其他有效措施，并进行防渗漏监测。</w:t>
      </w:r>
    </w:p>
    <w:p w14:paraId="3F213727">
      <w:pPr>
        <w:pStyle w:val="35"/>
        <w:spacing w:before="163" w:beforeLines="50" w:after="163" w:afterLines="50"/>
        <w:ind w:firstLine="0" w:firstLineChars="0"/>
        <w:rPr>
          <w:rFonts w:ascii="黑体" w:hAnsi="黑体" w:eastAsia="黑体"/>
        </w:rPr>
      </w:pPr>
      <w:r>
        <w:rPr>
          <w:rFonts w:ascii="黑体" w:hAnsi="黑体" w:eastAsia="黑体"/>
        </w:rPr>
        <w:t>5.1.3.2 施工场地类</w:t>
      </w:r>
    </w:p>
    <w:p w14:paraId="062618D6">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）建筑施工场地应符合JGJ146，设置污水导流渠、排水沟、收集池、沉淀池、隔油池以及其他防护设施；污水应经预处理后方可排入公共污水管网。</w:t>
      </w:r>
    </w:p>
    <w:p w14:paraId="0E87E004">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w:t>
      </w:r>
      <w:r>
        <w:rPr>
          <w:rFonts w:hint="eastAsia"/>
          <w:color w:val="000000" w:themeColor="text1"/>
          <w:sz w:val="21"/>
          <w:szCs w:val="21"/>
          <w14:textFill>
            <w14:solidFill>
              <w14:schemeClr w14:val="tx1"/>
            </w14:solidFill>
          </w14:textFill>
        </w:rPr>
        <w:t>）车辆冲洗废水应经沉淀处理回用。</w:t>
      </w:r>
    </w:p>
    <w:p w14:paraId="28DF46E9">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w:t>
      </w:r>
      <w:r>
        <w:rPr>
          <w:rFonts w:hint="eastAsia"/>
          <w:color w:val="000000" w:themeColor="text1"/>
          <w:sz w:val="21"/>
          <w:szCs w:val="21"/>
          <w14:textFill>
            <w14:solidFill>
              <w14:schemeClr w14:val="tx1"/>
            </w14:solidFill>
          </w14:textFill>
        </w:rPr>
        <w:t>）施工中泥浆水应经收集、沉淀处理后循环利用。</w:t>
      </w:r>
    </w:p>
    <w:p w14:paraId="78A73B3B">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4</w:t>
      </w:r>
      <w:r>
        <w:rPr>
          <w:rFonts w:hint="eastAsia"/>
          <w:color w:val="000000" w:themeColor="text1"/>
          <w:sz w:val="21"/>
          <w:szCs w:val="21"/>
          <w14:textFill>
            <w14:solidFill>
              <w14:schemeClr w14:val="tx1"/>
            </w14:solidFill>
          </w14:textFill>
        </w:rPr>
        <w:t>）施工机械设备使用和检修时，应控制油料污染。清洗机具的废水和废油不得直接排入公共污水管网。</w:t>
      </w:r>
    </w:p>
    <w:p w14:paraId="253046AC">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5</w:t>
      </w:r>
      <w:r>
        <w:rPr>
          <w:rFonts w:hint="eastAsia"/>
          <w:color w:val="000000" w:themeColor="text1"/>
          <w:sz w:val="21"/>
          <w:szCs w:val="21"/>
          <w14:textFill>
            <w14:solidFill>
              <w14:schemeClr w14:val="tx1"/>
            </w14:solidFill>
          </w14:textFill>
        </w:rPr>
        <w:t>）有条件的，现场设置污水回收、循环再利用设施；并对雨水进行收集利用。</w:t>
      </w:r>
    </w:p>
    <w:p w14:paraId="5D20A578">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6）工程施工建设施工降水不应排入市政污水管道。</w:t>
      </w:r>
    </w:p>
    <w:p w14:paraId="363D8914">
      <w:pPr>
        <w:pStyle w:val="35"/>
        <w:spacing w:before="163" w:beforeLines="50" w:after="163" w:afterLines="50"/>
        <w:ind w:firstLine="0" w:firstLineChars="0"/>
        <w:rPr>
          <w:rFonts w:ascii="黑体" w:hAnsi="黑体" w:eastAsia="黑体"/>
        </w:rPr>
      </w:pPr>
      <w:r>
        <w:rPr>
          <w:rFonts w:ascii="黑体" w:hAnsi="黑体" w:eastAsia="黑体"/>
        </w:rPr>
        <w:t>5.1.3.3 农业类</w:t>
      </w:r>
    </w:p>
    <w:p w14:paraId="65500247">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）畜禽养殖类应干湿分离、雨污分流，污水处理设施设计要匹配养殖规模。排入公共污水管网的，应符合相关国家、地方相关标准要求。</w:t>
      </w:r>
    </w:p>
    <w:p w14:paraId="1B222656">
      <w:pPr>
        <w:pStyle w:val="6"/>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w:t>
      </w:r>
      <w:r>
        <w:rPr>
          <w:rFonts w:hint="eastAsia"/>
          <w:color w:val="000000" w:themeColor="text1"/>
          <w:sz w:val="21"/>
          <w:szCs w:val="21"/>
          <w14:textFill>
            <w14:solidFill>
              <w14:schemeClr w14:val="tx1"/>
            </w14:solidFill>
          </w14:textFill>
        </w:rPr>
        <w:t>）水产养殖类应设计尾水处理设施，并符合</w:t>
      </w:r>
      <w:r>
        <w:rPr>
          <w:color w:val="000000" w:themeColor="text1"/>
          <w:sz w:val="21"/>
          <w:szCs w:val="21"/>
          <w14:textFill>
            <w14:solidFill>
              <w14:schemeClr w14:val="tx1"/>
            </w14:solidFill>
          </w14:textFill>
        </w:rPr>
        <w:t>D</w:t>
      </w:r>
      <w:r>
        <w:rPr>
          <w:rFonts w:hint="eastAsia"/>
          <w:color w:val="000000" w:themeColor="text1"/>
          <w:sz w:val="21"/>
          <w:szCs w:val="21"/>
          <w14:textFill>
            <w14:solidFill>
              <w14:schemeClr w14:val="tx1"/>
            </w14:solidFill>
          </w14:textFill>
        </w:rPr>
        <w:t>B34/T3657相关规定。</w:t>
      </w:r>
    </w:p>
    <w:p w14:paraId="56A75306">
      <w:pPr>
        <w:pStyle w:val="56"/>
        <w:spacing w:before="163" w:after="163"/>
      </w:pPr>
      <w:bookmarkStart w:id="28" w:name="_Toc20166"/>
      <w:r>
        <w:rPr>
          <w:rFonts w:hint="eastAsia"/>
        </w:rPr>
        <w:t>5.2 公共排水设施</w:t>
      </w:r>
      <w:bookmarkEnd w:id="28"/>
    </w:p>
    <w:p w14:paraId="6C587CE5">
      <w:pPr>
        <w:pStyle w:val="57"/>
        <w:spacing w:before="163" w:after="163"/>
        <w:rPr>
          <w:rFonts w:hAnsi="黑体" w:cs="宋体"/>
        </w:rPr>
      </w:pPr>
      <w:r>
        <w:rPr>
          <w:rFonts w:hint="eastAsia" w:hAnsi="黑体" w:cs="宋体"/>
        </w:rPr>
        <w:t>5</w:t>
      </w:r>
      <w:r>
        <w:rPr>
          <w:rFonts w:hAnsi="黑体" w:cs="宋体"/>
        </w:rPr>
        <w:t xml:space="preserve">.2.1 </w:t>
      </w:r>
      <w:r>
        <w:rPr>
          <w:rFonts w:hint="eastAsia" w:hAnsi="黑体" w:cs="宋体"/>
        </w:rPr>
        <w:t>排水管渠及附属构筑物</w:t>
      </w:r>
    </w:p>
    <w:p w14:paraId="7A0C7EED">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1）一般规定</w:t>
      </w:r>
    </w:p>
    <w:p w14:paraId="109BFA27">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a）排入市政污水管道的污水水质必须符合国家现行相关标准的规定，不应影响污水管道和污水处理设施等的正常运行，不应对运行管理人员造成危害，不应影响处理后出水的再生利用和安全排放，不应影响污泥的处理和处置。</w:t>
      </w:r>
    </w:p>
    <w:p w14:paraId="2411DA23">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b）输送易燃、易爆、有毒、有害物质的管道必须进行强度和严密性试验，试验合格方可投入运行。</w:t>
      </w:r>
    </w:p>
    <w:p w14:paraId="3BB4A8FD">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c）存在易燃易爆气体泄漏风险的承压构筑物满水试验合格后，还应进行气密性试验，试验合格后方可投入运行。</w:t>
      </w:r>
    </w:p>
    <w:p w14:paraId="2FFE14F3">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d</w:t>
      </w:r>
      <w:r>
        <w:rPr>
          <w:rFonts w:hint="eastAsia"/>
          <w:color w:val="000000" w:themeColor="text1"/>
          <w:sz w:val="21"/>
          <w:szCs w:val="21"/>
          <w14:textFill>
            <w14:solidFill>
              <w14:schemeClr w14:val="tx1"/>
            </w14:solidFill>
          </w14:textFill>
        </w:rPr>
        <w:t>）排水管渠系统应根据城镇总体规划和建设情况统一布置，分期建设。排水管渠断面尺寸应按远期规划设计流量设计，按现状水量复核，并考虑城镇远景发展的需要。</w:t>
      </w:r>
    </w:p>
    <w:p w14:paraId="7C7237E1">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2）管道系统</w:t>
      </w:r>
    </w:p>
    <w:p w14:paraId="4A064B41">
      <w:pPr>
        <w:spacing w:line="240" w:lineRule="auto"/>
        <w:ind w:left="240" w:leftChars="100" w:firstLine="210" w:firstLineChars="10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a</w:t>
      </w:r>
      <w:r>
        <w:rPr>
          <w:rFonts w:hint="eastAsia"/>
          <w:color w:val="000000" w:themeColor="text1"/>
          <w:sz w:val="21"/>
          <w:szCs w:val="21"/>
          <w14:textFill>
            <w14:solidFill>
              <w14:schemeClr w14:val="tx1"/>
            </w14:solidFill>
          </w14:textFill>
        </w:rPr>
        <w:t>）既有污水管网应根据管道检测评估结果进行改造和完善，修复破损管道，消除雨污混接和城镇污水收集设施空白区。合流制排水系统应通过雨水源头减量、截流、调蓄、溢流口改造和溢流污水处理等措施控制溢流污染。</w:t>
      </w:r>
    </w:p>
    <w:p w14:paraId="1686179E">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b）污水收集、输送严禁采用明渠。</w:t>
      </w:r>
    </w:p>
    <w:p w14:paraId="4BB0F097">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c</w:t>
      </w:r>
      <w:r>
        <w:rPr>
          <w:rFonts w:hint="eastAsia"/>
          <w:color w:val="000000" w:themeColor="text1"/>
          <w:sz w:val="21"/>
          <w:szCs w:val="21"/>
          <w14:textFill>
            <w14:solidFill>
              <w14:schemeClr w14:val="tx1"/>
            </w14:solidFill>
          </w14:textFill>
        </w:rPr>
        <w:t>）重力流污水管道应按非满管流设计，并应考虑近远期流量选择合适的坡度和设计充满度对应最小坡度，满足自清要求。雨季设计流量按照满管流校核。</w:t>
      </w:r>
    </w:p>
    <w:p w14:paraId="7DCCF7C7">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d</w:t>
      </w:r>
      <w:r>
        <w:rPr>
          <w:rFonts w:hint="eastAsia"/>
          <w:color w:val="000000" w:themeColor="text1"/>
          <w:sz w:val="21"/>
          <w:szCs w:val="21"/>
          <w14:textFill>
            <w14:solidFill>
              <w14:schemeClr w14:val="tx1"/>
            </w14:solidFill>
          </w14:textFill>
        </w:rPr>
        <w:t>）污水管道及其附属构筑物应经严密性试验合格后方可投入运行。</w:t>
      </w:r>
    </w:p>
    <w:p w14:paraId="3FED1063">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w:t>
      </w:r>
      <w:r>
        <w:rPr>
          <w:rFonts w:hint="eastAsia"/>
          <w:color w:val="000000" w:themeColor="text1"/>
          <w:sz w:val="21"/>
          <w:szCs w:val="21"/>
          <w14:textFill>
            <w14:solidFill>
              <w14:schemeClr w14:val="tx1"/>
            </w14:solidFill>
          </w14:textFill>
        </w:rPr>
        <w:t>）检查井</w:t>
      </w:r>
    </w:p>
    <w:p w14:paraId="4C8CC01B">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a</w:t>
      </w:r>
      <w:r>
        <w:rPr>
          <w:rFonts w:hint="eastAsia"/>
          <w:color w:val="000000" w:themeColor="text1"/>
          <w:sz w:val="21"/>
          <w:szCs w:val="21"/>
          <w14:textFill>
            <w14:solidFill>
              <w14:schemeClr w14:val="tx1"/>
            </w14:solidFill>
          </w14:textFill>
        </w:rPr>
        <w:t>）检查井的位置应设在管道交汇处、转弯处、管径或坡度改变处、跌水处及直线管段上每隔一定距离处。</w:t>
      </w:r>
    </w:p>
    <w:p w14:paraId="0DA94A96">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b）污水管道、雨水管道和合流管道的检查井井盖应有标识。</w:t>
      </w:r>
    </w:p>
    <w:p w14:paraId="3C0CF983">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c</w:t>
      </w:r>
      <w:r>
        <w:rPr>
          <w:rFonts w:hint="eastAsia"/>
          <w:color w:val="000000" w:themeColor="text1"/>
          <w:sz w:val="21"/>
          <w:szCs w:val="21"/>
          <w14:textFill>
            <w14:solidFill>
              <w14:schemeClr w14:val="tx1"/>
            </w14:solidFill>
          </w14:textFill>
        </w:rPr>
        <w:t>）检查井宜采用成品井，其位置应充分考虑成品管节的长度，避免现场切割。检查井不得使用实心黏土砖砌检查井。砖砌和钢筋混凝土检查井应采用钢筋混凝土底板。</w:t>
      </w:r>
    </w:p>
    <w:p w14:paraId="1C158461">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d）接入检查井的支管（接护管或连接管）管径大于3</w:t>
      </w:r>
      <w:r>
        <w:rPr>
          <w:color w:val="000000" w:themeColor="text1"/>
          <w:sz w:val="21"/>
          <w:szCs w:val="21"/>
          <w14:textFill>
            <w14:solidFill>
              <w14:schemeClr w14:val="tx1"/>
            </w14:solidFill>
          </w14:textFill>
        </w:rPr>
        <w:t>00mm</w:t>
      </w:r>
      <w:r>
        <w:rPr>
          <w:rFonts w:hint="eastAsia"/>
          <w:color w:val="000000" w:themeColor="text1"/>
          <w:sz w:val="21"/>
          <w:szCs w:val="21"/>
          <w14:textFill>
            <w14:solidFill>
              <w14:schemeClr w14:val="tx1"/>
            </w14:solidFill>
          </w14:textFill>
        </w:rPr>
        <w:t>时，支管数不宜超过3条。</w:t>
      </w:r>
    </w:p>
    <w:p w14:paraId="5F295F69">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e）检查井和管道接口处应采取防止不均匀沉降的措施。</w:t>
      </w:r>
    </w:p>
    <w:p w14:paraId="6BD615BA">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4）雨水口</w:t>
      </w:r>
    </w:p>
    <w:p w14:paraId="03E577A3">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a</w:t>
      </w:r>
      <w:r>
        <w:rPr>
          <w:rFonts w:hint="eastAsia"/>
          <w:color w:val="000000" w:themeColor="text1"/>
          <w:sz w:val="21"/>
          <w:szCs w:val="21"/>
          <w14:textFill>
            <w14:solidFill>
              <w14:schemeClr w14:val="tx1"/>
            </w14:solidFill>
          </w14:textFill>
        </w:rPr>
        <w:t>）雨水口的形式、数量和布置，应按汇水面积所产生的流量、雨水口的泄水能力和道路形式确定。立箅式雨水口的宽度和平筛式雨水口的开孔长度、开孔方向应根据设计流量、道路纵坡和横坡等参数确定。合流制系统中的雨水口应采取防止臭气外逸的措施。</w:t>
      </w:r>
    </w:p>
    <w:p w14:paraId="3486F47E">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b）当考虑道路排水的径流污染控制时，雨水口应设置在源头减排设施中。其箅面标高应根据雨水调蓄设计要求确定，且应高于周围绿地平面标高。</w:t>
      </w:r>
    </w:p>
    <w:p w14:paraId="6174492A">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c</w:t>
      </w:r>
      <w:r>
        <w:rPr>
          <w:rFonts w:hint="eastAsia"/>
          <w:color w:val="000000" w:themeColor="text1"/>
          <w:sz w:val="21"/>
          <w:szCs w:val="21"/>
          <w14:textFill>
            <w14:solidFill>
              <w14:schemeClr w14:val="tx1"/>
            </w14:solidFill>
          </w14:textFill>
        </w:rPr>
        <w:t>）雨水口宜设置防止垃圾进入雨水管渠的装置。</w:t>
      </w:r>
    </w:p>
    <w:p w14:paraId="54ED8799">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d）雨水口和雨水连接管流量应为雨水管渠设计重现期计算流量的1.5倍--3.0倍。</w:t>
      </w:r>
    </w:p>
    <w:p w14:paraId="7631C00D">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5</w:t>
      </w:r>
      <w:r>
        <w:rPr>
          <w:rFonts w:hint="eastAsia"/>
          <w:color w:val="000000" w:themeColor="text1"/>
          <w:sz w:val="21"/>
          <w:szCs w:val="21"/>
          <w14:textFill>
            <w14:solidFill>
              <w14:schemeClr w14:val="tx1"/>
            </w14:solidFill>
          </w14:textFill>
        </w:rPr>
        <w:t>）截流设施</w:t>
      </w:r>
    </w:p>
    <w:p w14:paraId="7116FD9A">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a</w:t>
      </w:r>
      <w:r>
        <w:rPr>
          <w:rFonts w:hint="eastAsia"/>
          <w:color w:val="000000" w:themeColor="text1"/>
          <w:sz w:val="21"/>
          <w:szCs w:val="21"/>
          <w14:textFill>
            <w14:solidFill>
              <w14:schemeClr w14:val="tx1"/>
            </w14:solidFill>
          </w14:textFill>
        </w:rPr>
        <w:t>）合流污水的截流可采用重力截流和水泵截流。</w:t>
      </w:r>
    </w:p>
    <w:p w14:paraId="04983848">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b）截流设施的位置应根据溢流污染控制要求、污水截流干管位置、合流管道位置、调蓄池布局、溢流管下游水位高程和周围环境等因素确定。</w:t>
      </w:r>
    </w:p>
    <w:p w14:paraId="27CD56A0">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c</w:t>
      </w:r>
      <w:r>
        <w:rPr>
          <w:rFonts w:hint="eastAsia"/>
          <w:color w:val="000000" w:themeColor="text1"/>
          <w:sz w:val="21"/>
          <w:szCs w:val="21"/>
          <w14:textFill>
            <w14:solidFill>
              <w14:schemeClr w14:val="tx1"/>
            </w14:solidFill>
          </w14:textFill>
        </w:rPr>
        <w:t>）截流井宜采用槽式，也可采用堰式或槽堰结合式。管渠高程允许时，应选用槽式，当选用堰式或槽堰结合式时，堰高和堰长应进行水力计算。</w:t>
      </w:r>
    </w:p>
    <w:p w14:paraId="1F28D9F4">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d）截流井溢流水位应在设计洪水位或受纳管道设计水位以上，当不能满足要求时，应设置闸门等防倒灌设施，并应保证上游管渠在雨水设计流量下的排水安全。</w:t>
      </w:r>
    </w:p>
    <w:p w14:paraId="4571669A">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e</w:t>
      </w:r>
      <w:r>
        <w:rPr>
          <w:rFonts w:hint="eastAsia"/>
          <w:color w:val="000000" w:themeColor="text1"/>
          <w:sz w:val="21"/>
          <w:szCs w:val="21"/>
          <w14:textFill>
            <w14:solidFill>
              <w14:schemeClr w14:val="tx1"/>
            </w14:solidFill>
          </w14:textFill>
        </w:rPr>
        <w:t>）截流井内宜设流量控制设施。</w:t>
      </w:r>
    </w:p>
    <w:p w14:paraId="4DA7AD2D">
      <w:pPr>
        <w:pStyle w:val="57"/>
        <w:spacing w:before="163" w:after="163"/>
        <w:rPr>
          <w:rFonts w:hAnsi="黑体" w:cs="宋体"/>
        </w:rPr>
      </w:pPr>
      <w:r>
        <w:rPr>
          <w:rFonts w:hint="eastAsia" w:hAnsi="黑体" w:cs="宋体"/>
        </w:rPr>
        <w:t>5</w:t>
      </w:r>
      <w:r>
        <w:rPr>
          <w:rFonts w:hAnsi="黑体" w:cs="宋体"/>
        </w:rPr>
        <w:t xml:space="preserve">.2.2 </w:t>
      </w:r>
      <w:r>
        <w:rPr>
          <w:rFonts w:hint="eastAsia" w:hAnsi="黑体" w:cs="宋体"/>
        </w:rPr>
        <w:t>泵站</w:t>
      </w:r>
    </w:p>
    <w:p w14:paraId="631FF346">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）排水泵站宜按远期规模设计，水泵机组可按近期规模配备。</w:t>
      </w:r>
    </w:p>
    <w:p w14:paraId="761C2221">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w:t>
      </w:r>
      <w:r>
        <w:rPr>
          <w:rFonts w:hint="eastAsia"/>
          <w:color w:val="000000" w:themeColor="text1"/>
          <w:sz w:val="21"/>
          <w:szCs w:val="21"/>
          <w14:textFill>
            <w14:solidFill>
              <w14:schemeClr w14:val="tx1"/>
            </w14:solidFill>
          </w14:textFill>
        </w:rPr>
        <w:t>）排水泵站的建筑物和附属设施宜采取防腐蚀措施。抽送腐蚀性污水的泵站，必须采用耐腐蚀的水泵、管配件和有关设备。</w:t>
      </w:r>
    </w:p>
    <w:p w14:paraId="5CB66607">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w:t>
      </w:r>
      <w:r>
        <w:rPr>
          <w:rFonts w:hint="eastAsia"/>
          <w:color w:val="000000" w:themeColor="text1"/>
          <w:sz w:val="21"/>
          <w:szCs w:val="21"/>
          <w14:textFill>
            <w14:solidFill>
              <w14:schemeClr w14:val="tx1"/>
            </w14:solidFill>
          </w14:textFill>
        </w:rPr>
        <w:t>）排水泵站供电应按二级负荷设计。特别重要地区的泵站应按一级负荷设计。</w:t>
      </w:r>
    </w:p>
    <w:p w14:paraId="60D59DA2">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4</w:t>
      </w:r>
      <w:r>
        <w:rPr>
          <w:rFonts w:hint="eastAsia"/>
          <w:color w:val="000000" w:themeColor="text1"/>
          <w:sz w:val="21"/>
          <w:szCs w:val="21"/>
          <w14:textFill>
            <w14:solidFill>
              <w14:schemeClr w14:val="tx1"/>
            </w14:solidFill>
          </w14:textFill>
        </w:rPr>
        <w:t>）规模较小、用地紧张、不允许存在地面建筑的情况下，可采用一体化预制泵站。</w:t>
      </w:r>
    </w:p>
    <w:p w14:paraId="3B3FC5C7">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5</w:t>
      </w:r>
      <w:r>
        <w:rPr>
          <w:rFonts w:hint="eastAsia"/>
          <w:color w:val="000000" w:themeColor="text1"/>
          <w:sz w:val="21"/>
          <w:szCs w:val="21"/>
          <w14:textFill>
            <w14:solidFill>
              <w14:schemeClr w14:val="tx1"/>
            </w14:solidFill>
          </w14:textFill>
        </w:rPr>
        <w:t>）雨水泵站应采用自灌式泵站。污水泵站和合流污水泵站宜采用自灌式泵站。</w:t>
      </w:r>
    </w:p>
    <w:p w14:paraId="4249333B">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6</w:t>
      </w:r>
      <w:r>
        <w:rPr>
          <w:rFonts w:hint="eastAsia"/>
          <w:color w:val="000000" w:themeColor="text1"/>
          <w:sz w:val="21"/>
          <w:szCs w:val="21"/>
          <w14:textFill>
            <w14:solidFill>
              <w14:schemeClr w14:val="tx1"/>
            </w14:solidFill>
          </w14:textFill>
        </w:rPr>
        <w:t>）城镇污水泵站的设计流量，应按泵站进水总管的旱季设计流量确定，总装机流量按雨季设计流量确定。</w:t>
      </w:r>
    </w:p>
    <w:p w14:paraId="2525BC97">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7</w:t>
      </w:r>
      <w:r>
        <w:rPr>
          <w:rFonts w:hint="eastAsia"/>
          <w:color w:val="000000" w:themeColor="text1"/>
          <w:sz w:val="21"/>
          <w:szCs w:val="21"/>
          <w14:textFill>
            <w14:solidFill>
              <w14:schemeClr w14:val="tx1"/>
            </w14:solidFill>
          </w14:textFill>
        </w:rPr>
        <w:t>）雨水泵站的设计流量应按泵站进水总管的设计流量确定。雨污分流不彻底、短时间难以改建或考虑径流污染控制的地区，雨水泵站中宜设置污水截流设施，输送至污水系统进行处理达标后排放。</w:t>
      </w:r>
    </w:p>
    <w:p w14:paraId="67AEC15E">
      <w:pPr>
        <w:pStyle w:val="57"/>
        <w:spacing w:before="163" w:after="163"/>
        <w:rPr>
          <w:rFonts w:hAnsi="黑体" w:cs="宋体"/>
        </w:rPr>
      </w:pPr>
      <w:r>
        <w:rPr>
          <w:rFonts w:hint="eastAsia" w:hAnsi="黑体" w:cs="宋体"/>
        </w:rPr>
        <w:t>5</w:t>
      </w:r>
      <w:r>
        <w:rPr>
          <w:rFonts w:hAnsi="黑体" w:cs="宋体"/>
        </w:rPr>
        <w:t xml:space="preserve">.2.3 </w:t>
      </w:r>
      <w:r>
        <w:rPr>
          <w:rFonts w:hint="eastAsia" w:hAnsi="黑体" w:cs="宋体"/>
        </w:rPr>
        <w:t>其他</w:t>
      </w:r>
    </w:p>
    <w:p w14:paraId="3924FE2D">
      <w:pPr>
        <w:spacing w:line="240" w:lineRule="auto"/>
        <w:ind w:firstLine="42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公共排水设施工程设计中未明确的内容参照GB50014执行。</w:t>
      </w:r>
    </w:p>
    <w:p w14:paraId="2BEF677D">
      <w:pPr>
        <w:pStyle w:val="56"/>
        <w:spacing w:before="163" w:after="163"/>
      </w:pPr>
      <w:bookmarkStart w:id="29" w:name="_Toc9247"/>
      <w:r>
        <w:t>5.3 城镇</w:t>
      </w:r>
      <w:r>
        <w:rPr>
          <w:rFonts w:hint="eastAsia"/>
        </w:rPr>
        <w:t>污水处理设施或工业废水集中处理厂</w:t>
      </w:r>
      <w:bookmarkEnd w:id="29"/>
    </w:p>
    <w:p w14:paraId="01E7FA67">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）污水处理厂应能有效去除水污染物，保障出水达标排放，并应促进资源的回收利用。</w:t>
      </w:r>
    </w:p>
    <w:p w14:paraId="2924B273">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2）污水厂的规模应按平均日流量确定。</w:t>
      </w:r>
    </w:p>
    <w:p w14:paraId="40D4EB8F">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3）污水厂应通过扩容或增加调蓄设施，保证雨季设计流量下的达标排放。当采用雨水调蓄时，污水厂的雨季设计流量可根据调蓄规模相应降低。</w:t>
      </w:r>
    </w:p>
    <w:p w14:paraId="5812DEDD">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4）水质和（或）水量变化大的污水厂宜设置调节水质和（或）水量的设施。</w:t>
      </w:r>
    </w:p>
    <w:p w14:paraId="50751DCB">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5）污水厂的总体布置应根据厂内各建筑物和构筑物的功能和流程要求，结合厂址地形、气候和地质条件，综合考虑运行成本和施工、维护、管理的便利性等因素，经技术经济比较后确定。</w:t>
      </w:r>
    </w:p>
    <w:p w14:paraId="1BBB926B">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6</w:t>
      </w:r>
      <w:r>
        <w:rPr>
          <w:rFonts w:hint="eastAsia"/>
          <w:color w:val="000000" w:themeColor="text1"/>
          <w:sz w:val="21"/>
          <w:szCs w:val="21"/>
          <w14:textFill>
            <w14:solidFill>
              <w14:schemeClr w14:val="tx1"/>
            </w14:solidFill>
          </w14:textFill>
        </w:rPr>
        <w:t>）污水和污泥处理构筑物宜根据情况分别集中布置。处理构筑物的间距应紧凑、合理，符合国家现行防火标准的有关规定，并应满足各构筑物的施工、设备安装和埋设各种管道及养护、维修和管理的要求。</w:t>
      </w:r>
    </w:p>
    <w:p w14:paraId="1DD12D7C">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7）生产管理建筑物和生活设施宜集中布置，其位置和朝向应力求合理，并应和处理构筑物保持一定距离。</w:t>
      </w:r>
    </w:p>
    <w:p w14:paraId="256C59EB">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8）污水厂厂区内各建筑物造型应简洁美观、节省材料、选材适当，并应使建筑物和构筑物群体的美观效果与周围环境协调。</w:t>
      </w:r>
    </w:p>
    <w:p w14:paraId="3DC61D41">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9</w:t>
      </w:r>
      <w:r>
        <w:rPr>
          <w:rFonts w:hint="eastAsia"/>
          <w:color w:val="000000" w:themeColor="text1"/>
          <w:sz w:val="21"/>
          <w:szCs w:val="21"/>
          <w14:textFill>
            <w14:solidFill>
              <w14:schemeClr w14:val="tx1"/>
            </w14:solidFill>
          </w14:textFill>
        </w:rPr>
        <w:t>）污水厂的工艺流程、竖向设计宜充分利用地形，符合排水通畅、降低能耗、平衡土方的要求。</w:t>
      </w:r>
    </w:p>
    <w:p w14:paraId="593FA434">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10</w:t>
      </w:r>
      <w:r>
        <w:rPr>
          <w:rFonts w:hint="eastAsia"/>
          <w:color w:val="000000" w:themeColor="text1"/>
          <w:sz w:val="21"/>
          <w:szCs w:val="21"/>
          <w14:textFill>
            <w14:solidFill>
              <w14:schemeClr w14:val="tx1"/>
            </w14:solidFill>
          </w14:textFill>
        </w:rPr>
        <w:t>）污水处理厂的出水，产生的污泥、臭气和噪声应符合国家现行相关标准的规定。</w:t>
      </w:r>
    </w:p>
    <w:p w14:paraId="3E660973">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11</w:t>
      </w:r>
      <w:r>
        <w:rPr>
          <w:rFonts w:hint="eastAsia"/>
          <w:color w:val="000000" w:themeColor="text1"/>
          <w:sz w:val="21"/>
          <w:szCs w:val="21"/>
          <w14:textFill>
            <w14:solidFill>
              <w14:schemeClr w14:val="tx1"/>
            </w14:solidFill>
          </w14:textFill>
        </w:rPr>
        <w:t>）污水处理应根据国家规定的排放标准、污水水质特征、处理后出水用途等确定污水处理程度，合理选择处理工艺。污水处理厂处理推荐工艺见附录</w:t>
      </w:r>
      <w:r>
        <w:rPr>
          <w:color w:val="000000" w:themeColor="text1"/>
          <w:sz w:val="21"/>
          <w:szCs w:val="21"/>
          <w14:textFill>
            <w14:solidFill>
              <w14:schemeClr w14:val="tx1"/>
            </w14:solidFill>
          </w14:textFill>
        </w:rPr>
        <w:t>A</w:t>
      </w:r>
      <w:r>
        <w:rPr>
          <w:rFonts w:hint="eastAsia"/>
          <w:color w:val="000000" w:themeColor="text1"/>
          <w:sz w:val="21"/>
          <w:szCs w:val="21"/>
          <w14:textFill>
            <w14:solidFill>
              <w14:schemeClr w14:val="tx1"/>
            </w14:solidFill>
          </w14:textFill>
        </w:rPr>
        <w:t>表A</w:t>
      </w: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w:t>
      </w:r>
    </w:p>
    <w:p w14:paraId="557C0F3B">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12</w:t>
      </w:r>
      <w:r>
        <w:rPr>
          <w:rFonts w:hint="eastAsia"/>
          <w:color w:val="000000" w:themeColor="text1"/>
          <w:sz w:val="21"/>
          <w:szCs w:val="21"/>
          <w14:textFill>
            <w14:solidFill>
              <w14:schemeClr w14:val="tx1"/>
            </w14:solidFill>
          </w14:textFill>
        </w:rPr>
        <w:t>）配有工业废水集中处理厂的，污水处理工艺、规模应与园区内企业废水性质、总量相匹配，且能稳定运行和达标排放。</w:t>
      </w:r>
    </w:p>
    <w:p w14:paraId="4ABC5920">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13</w:t>
      </w:r>
      <w:r>
        <w:rPr>
          <w:rFonts w:hint="eastAsia"/>
          <w:color w:val="000000" w:themeColor="text1"/>
          <w:sz w:val="21"/>
          <w:szCs w:val="21"/>
          <w14:textFill>
            <w14:solidFill>
              <w14:schemeClr w14:val="tx1"/>
            </w14:solidFill>
          </w14:textFill>
        </w:rPr>
        <w:t>）污水处理设施进出水处应设置水量计量和水质监测设备。化验检测设备的配置应满足正常生产条件下质量控制的需要。污水处理厂进水的水质监测点和化验取样点应设置在总进水口，并应避开厂内排放污水的影响；出水的水质监测点和化验取样点应设置在总出水口。</w:t>
      </w:r>
    </w:p>
    <w:p w14:paraId="5444EB23">
      <w:pPr>
        <w:spacing w:line="240" w:lineRule="auto"/>
        <w:ind w:firstLine="42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t>4</w:t>
      </w: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城镇</w:t>
      </w:r>
      <w:r>
        <w:rPr>
          <w:rFonts w:hint="eastAsia"/>
          <w:color w:val="000000" w:themeColor="text1"/>
          <w:sz w:val="21"/>
          <w:szCs w:val="21"/>
          <w14:textFill>
            <w14:solidFill>
              <w14:schemeClr w14:val="tx1"/>
            </w14:solidFill>
          </w14:textFill>
        </w:rPr>
        <w:t>污水处理设施或工业废水集中处理厂设计中其他未明确的内容参照GB50014及相关标准执行。</w:t>
      </w:r>
    </w:p>
    <w:p w14:paraId="22802AE6">
      <w:pPr>
        <w:pStyle w:val="56"/>
        <w:spacing w:before="163" w:after="163"/>
      </w:pPr>
      <w:bookmarkStart w:id="30" w:name="_Toc627"/>
      <w:r>
        <w:rPr>
          <w:rFonts w:hint="eastAsia"/>
        </w:rPr>
        <w:t>5</w:t>
      </w:r>
      <w:r>
        <w:t>.4 入河排污</w:t>
      </w:r>
      <w:r>
        <w:rPr>
          <w:rFonts w:hint="eastAsia"/>
        </w:rPr>
        <w:t>口</w:t>
      </w:r>
      <w:bookmarkEnd w:id="30"/>
    </w:p>
    <w:p w14:paraId="47F184A0">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分类施策，规范建设。工业排污口、城镇污水处理厂排污口、农业排口以及其他排口中的港口码头排口、大中型灌区排口设置标识牌、监测采样点；采用管道形式排污且检修维护难的排污口，在口门附近设置检查井。检查井设置位置与污水入河处的最大间距根据疏通方法等情况确定。检查井应满足排污口检修维护工作需求，检查井与污水入河处的最大间距、各部分尺寸要求、安全防护要求等参照GB50014规定。</w:t>
      </w:r>
    </w:p>
    <w:p w14:paraId="5A33B2BE">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根据排污口入河方式和污水量大小，选择适宜的监测采样点设置形式。监测采样点设置应考虑实际采样的可行性和便利性。污水排放管道或渠道监测断面应为矩形、圆形、梯形等规则形状。测流段水流应平直、稳定、有一定水位高度。</w:t>
      </w:r>
    </w:p>
    <w:p w14:paraId="47261614">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标识牌公示信息包含但不限于排污口名称、编码、类型、管理单位、责任主体、监督电话等，可根据实际需求采用文字或二维码等形式展示。标识牌可选用立柱式、平面式等。入河排污口标识牌材料、颜色、尺寸、牌面信息等具体要求参照HJ1386规定。</w:t>
      </w:r>
    </w:p>
    <w:p w14:paraId="71C13EC9">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4）鼓励规模以上工矿企业、工业及其他各类园区污水处理厂、城镇污水处理厂排污口设置视频监控系统及水质流量在线监测系统。</w:t>
      </w:r>
    </w:p>
    <w:p w14:paraId="4568A202">
      <w:pPr>
        <w:pStyle w:val="54"/>
        <w:spacing w:before="312" w:beforeLines="0" w:after="312" w:afterLines="0"/>
      </w:pPr>
      <w:bookmarkStart w:id="31" w:name="_Toc12815"/>
      <w:r>
        <w:rPr>
          <w:rFonts w:hint="eastAsia"/>
        </w:rPr>
        <w:t>6</w:t>
      </w:r>
      <w:r>
        <w:t xml:space="preserve"> </w:t>
      </w:r>
      <w:r>
        <w:rPr>
          <w:rFonts w:hint="eastAsia"/>
        </w:rPr>
        <w:t>工程施工与验收</w:t>
      </w:r>
      <w:bookmarkEnd w:id="31"/>
    </w:p>
    <w:p w14:paraId="743ED73D">
      <w:pPr>
        <w:pStyle w:val="56"/>
        <w:spacing w:before="163" w:after="163"/>
      </w:pPr>
      <w:bookmarkStart w:id="32" w:name="_Toc21092"/>
      <w:r>
        <w:rPr>
          <w:rFonts w:hint="eastAsia"/>
        </w:rPr>
        <w:t>6</w:t>
      </w:r>
      <w:r>
        <w:t xml:space="preserve">.1 </w:t>
      </w:r>
      <w:r>
        <w:rPr>
          <w:rFonts w:hint="eastAsia"/>
        </w:rPr>
        <w:t>施工</w:t>
      </w:r>
      <w:bookmarkEnd w:id="32"/>
    </w:p>
    <w:p w14:paraId="72DA50B5">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1）排水工程建设和运行应满足生态安全、环境安全、资源利用安全、生产安全和职业卫生健康安全的要求。</w:t>
      </w:r>
    </w:p>
    <w:p w14:paraId="2B853185">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2</w:t>
      </w:r>
      <w:r>
        <w:rPr>
          <w:rFonts w:hint="eastAsia"/>
          <w:color w:val="000000" w:themeColor="text1"/>
          <w:sz w:val="21"/>
          <w:szCs w:val="21"/>
          <w14:textFill>
            <w14:solidFill>
              <w14:schemeClr w14:val="tx1"/>
            </w14:solidFill>
          </w14:textFill>
        </w:rPr>
        <w:t>）排水工程设施的选址应考虑地质和地形条件，并应符合排水工程相关规划和防灾专项规划的规定。</w:t>
      </w:r>
    </w:p>
    <w:p w14:paraId="0167A7E2">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w:t>
      </w:r>
      <w:r>
        <w:rPr>
          <w:rFonts w:hint="eastAsia"/>
          <w:color w:val="000000" w:themeColor="text1"/>
          <w:sz w:val="21"/>
          <w:szCs w:val="21"/>
          <w14:textFill>
            <w14:solidFill>
              <w14:schemeClr w14:val="tx1"/>
            </w14:solidFill>
          </w14:textFill>
        </w:rPr>
        <w:t>）分流制排水系统应分别设置雨水管渠和污水管道，不得混接、误接；合流制排水系统应明确服务范围并设置合流污水管道接纳服务范围内的雨水和污水。</w:t>
      </w:r>
    </w:p>
    <w:p w14:paraId="27CC729A">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4</w:t>
      </w:r>
      <w:r>
        <w:rPr>
          <w:rFonts w:hint="eastAsia"/>
          <w:color w:val="000000" w:themeColor="text1"/>
          <w:sz w:val="21"/>
          <w:szCs w:val="21"/>
          <w14:textFill>
            <w14:solidFill>
              <w14:schemeClr w14:val="tx1"/>
            </w14:solidFill>
          </w14:textFill>
        </w:rPr>
        <w:t>）排水工程中敞开式构筑物应设置警示标志和安全防护措施，并应保持明显、完整和有效。</w:t>
      </w:r>
    </w:p>
    <w:p w14:paraId="48554DFA">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5</w:t>
      </w:r>
      <w:r>
        <w:rPr>
          <w:rFonts w:hint="eastAsia"/>
          <w:color w:val="000000" w:themeColor="text1"/>
          <w:sz w:val="21"/>
          <w:szCs w:val="21"/>
          <w14:textFill>
            <w14:solidFill>
              <w14:schemeClr w14:val="tx1"/>
            </w14:solidFill>
          </w14:textFill>
        </w:rPr>
        <w:t>）检查井应具备防坠落性能，井盖应具备防盗窃性能，井盖和井座应满足所处环境所需承载力和稳定性要求。地下水位较高地区，禁止使用砖砌井。</w:t>
      </w:r>
    </w:p>
    <w:p w14:paraId="1E965A45">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6</w:t>
      </w:r>
      <w:r>
        <w:rPr>
          <w:rFonts w:hint="eastAsia"/>
          <w:color w:val="000000" w:themeColor="text1"/>
          <w:sz w:val="21"/>
          <w:szCs w:val="21"/>
          <w14:textFill>
            <w14:solidFill>
              <w14:schemeClr w14:val="tx1"/>
            </w14:solidFill>
          </w14:textFill>
        </w:rPr>
        <w:t>）排水工程所用的管材、管道附件、构(配)件和主要原材料等应符合国家现行相关标准的规定，产品进入施工现场时应按国家有关规定进行验收，验收合格后方可使用。</w:t>
      </w:r>
    </w:p>
    <w:p w14:paraId="02FB230F">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7</w:t>
      </w:r>
      <w:r>
        <w:rPr>
          <w:rFonts w:hint="eastAsia"/>
          <w:color w:val="000000" w:themeColor="text1"/>
          <w:sz w:val="21"/>
          <w:szCs w:val="21"/>
          <w14:textFill>
            <w14:solidFill>
              <w14:schemeClr w14:val="tx1"/>
            </w14:solidFill>
          </w14:textFill>
        </w:rPr>
        <w:t>）服务人口大于20万的城镇排水工程的主要设施抗震设防类别应划为重点设防类。</w:t>
      </w:r>
    </w:p>
    <w:p w14:paraId="4893EE95">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8</w:t>
      </w:r>
      <w:r>
        <w:rPr>
          <w:rFonts w:hint="eastAsia"/>
          <w:color w:val="000000" w:themeColor="text1"/>
          <w:sz w:val="21"/>
          <w:szCs w:val="21"/>
          <w14:textFill>
            <w14:solidFill>
              <w14:schemeClr w14:val="tx1"/>
            </w14:solidFill>
          </w14:textFill>
        </w:rPr>
        <w:t>）排水工程主要构筑物的主体结构和地下干管，其结构设计工作年限不应低于50年，安全等级不应低于二级。</w:t>
      </w:r>
    </w:p>
    <w:p w14:paraId="2D93A22E">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9</w:t>
      </w:r>
      <w:r>
        <w:rPr>
          <w:rFonts w:hint="eastAsia"/>
          <w:color w:val="000000" w:themeColor="text1"/>
          <w:sz w:val="21"/>
          <w:szCs w:val="21"/>
          <w14:textFill>
            <w14:solidFill>
              <w14:schemeClr w14:val="tx1"/>
            </w14:solidFill>
          </w14:textFill>
        </w:rPr>
        <w:t>）排水工程的变配电及控制设备应有防止受淹的措施。城镇排水工程的供电电源应按二级负荷设计，重要设备应按一级负荷设计。</w:t>
      </w:r>
    </w:p>
    <w:p w14:paraId="347BCAEE">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10</w:t>
      </w:r>
      <w:r>
        <w:rPr>
          <w:rFonts w:hint="eastAsia"/>
          <w:color w:val="000000" w:themeColor="text1"/>
          <w:sz w:val="21"/>
          <w:szCs w:val="21"/>
          <w14:textFill>
            <w14:solidFill>
              <w14:schemeClr w14:val="tx1"/>
            </w14:solidFill>
          </w14:textFill>
        </w:rPr>
        <w:t>）排水工程应设置检测仪表和自动化控制系统，并应采用信息化手段提供信息服务。</w:t>
      </w:r>
    </w:p>
    <w:p w14:paraId="532F3D0F">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11</w:t>
      </w:r>
      <w:r>
        <w:rPr>
          <w:rFonts w:hint="eastAsia"/>
          <w:color w:val="000000" w:themeColor="text1"/>
          <w:sz w:val="21"/>
          <w:szCs w:val="21"/>
          <w14:textFill>
            <w14:solidFill>
              <w14:schemeClr w14:val="tx1"/>
            </w14:solidFill>
          </w14:textFill>
        </w:rPr>
        <w:t>）城镇排水工程中，存在有毒有害气体或易燃气体的格栅间、雨水调蓄池等构(建)筑物，应设置相应的气体监测和报警装置。</w:t>
      </w:r>
    </w:p>
    <w:p w14:paraId="4CE66309">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12</w:t>
      </w:r>
      <w:r>
        <w:rPr>
          <w:rFonts w:hint="eastAsia"/>
          <w:color w:val="000000" w:themeColor="text1"/>
          <w:sz w:val="21"/>
          <w:szCs w:val="21"/>
          <w14:textFill>
            <w14:solidFill>
              <w14:schemeClr w14:val="tx1"/>
            </w14:solidFill>
          </w14:textFill>
        </w:rPr>
        <w:t>）排水工程中管道非开挖施工、跨越或穿越江河等特殊作业应制定专项施工方案。</w:t>
      </w:r>
    </w:p>
    <w:p w14:paraId="296243BC">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13</w:t>
      </w:r>
      <w:r>
        <w:rPr>
          <w:rFonts w:hint="eastAsia"/>
          <w:color w:val="000000" w:themeColor="text1"/>
          <w:sz w:val="21"/>
          <w:szCs w:val="21"/>
          <w14:textFill>
            <w14:solidFill>
              <w14:schemeClr w14:val="tx1"/>
            </w14:solidFill>
          </w14:textFill>
        </w:rPr>
        <w:t>）排水工程的贮水构筑物施工完毕应进行满水试验，试验合格后方可投入运行。</w:t>
      </w:r>
    </w:p>
    <w:p w14:paraId="3E74B26B">
      <w:pPr>
        <w:pStyle w:val="56"/>
        <w:spacing w:before="163" w:after="163"/>
      </w:pPr>
      <w:bookmarkStart w:id="33" w:name="_Toc30485"/>
      <w:r>
        <w:rPr>
          <w:rFonts w:hint="eastAsia"/>
        </w:rPr>
        <w:t>6</w:t>
      </w:r>
      <w:r>
        <w:t xml:space="preserve">.2 </w:t>
      </w:r>
      <w:r>
        <w:rPr>
          <w:rFonts w:hint="eastAsia"/>
        </w:rPr>
        <w:t>验收</w:t>
      </w:r>
      <w:bookmarkEnd w:id="33"/>
    </w:p>
    <w:p w14:paraId="2B9B4264">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给排水管道工程、构筑物工程所用的原材料、半成品、成品等产品的品种、规格、性能必须符合国家有关标准的规定和设计要求；接触饮用水的产品必须符合有关卫生要求。严禁使用国家明令淘汰、禁用的产品。</w:t>
      </w:r>
    </w:p>
    <w:p w14:paraId="424EBE58">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工程所用主要原材料、半成品、构(配)件、设备、管道、管件等产品，进入施工现场时必须进行进场验收。进场验收时应检查每批产品的订购合同、质量合格证书、性能检验报告、使用说明书、进口产品的商检报告及证件等，并按国家有关标准规定进行复验，验收合格后方可使用。混凝土、砂浆、防水涂料等现场配制的材料应经检测合格后使用。</w:t>
      </w:r>
    </w:p>
    <w:p w14:paraId="791C6CE1">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3</w:t>
      </w:r>
      <w:r>
        <w:rPr>
          <w:rFonts w:hint="eastAsia"/>
          <w:color w:val="000000" w:themeColor="text1"/>
          <w:sz w:val="21"/>
          <w:szCs w:val="21"/>
          <w14:textFill>
            <w14:solidFill>
              <w14:schemeClr w14:val="tx1"/>
            </w14:solidFill>
          </w14:textFill>
        </w:rPr>
        <w:t>）工程施工质量控制应符合下列规定:</w:t>
      </w:r>
    </w:p>
    <w:p w14:paraId="4980D783">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a</w:t>
      </w:r>
      <w:r>
        <w:rPr>
          <w:rFonts w:hint="eastAsia"/>
          <w:color w:val="000000" w:themeColor="text1"/>
          <w:sz w:val="21"/>
          <w:szCs w:val="21"/>
          <w14:textFill>
            <w14:solidFill>
              <w14:schemeClr w14:val="tx1"/>
            </w14:solidFill>
          </w14:textFill>
        </w:rPr>
        <w:t>）各分项工程应按照施工技术标准进行质量控制，分项工程完成后，应进行检验；</w:t>
      </w:r>
    </w:p>
    <w:p w14:paraId="4573AC68">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b</w:t>
      </w:r>
      <w:r>
        <w:rPr>
          <w:rFonts w:hint="eastAsia"/>
          <w:color w:val="000000" w:themeColor="text1"/>
          <w:sz w:val="21"/>
          <w:szCs w:val="21"/>
          <w14:textFill>
            <w14:solidFill>
              <w14:schemeClr w14:val="tx1"/>
            </w14:solidFill>
          </w14:textFill>
        </w:rPr>
        <w:t>）相关各分项工程之间，应进行交接检验；所有隐蔽分项工程应进行隐蔽验收；未经检验或验收不合格不得进行下道分项工程施工；</w:t>
      </w:r>
    </w:p>
    <w:p w14:paraId="30398199">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c</w:t>
      </w:r>
      <w:r>
        <w:rPr>
          <w:rFonts w:hint="eastAsia"/>
          <w:color w:val="000000" w:themeColor="text1"/>
          <w:sz w:val="21"/>
          <w:szCs w:val="21"/>
          <w14:textFill>
            <w14:solidFill>
              <w14:schemeClr w14:val="tx1"/>
            </w14:solidFill>
          </w14:textFill>
        </w:rPr>
        <w:t>）设备安装前应对有关的设备基础、预埋件、预留孔的位置、高程、尺寸等进行复核。</w:t>
      </w:r>
    </w:p>
    <w:p w14:paraId="7020143A">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4</w:t>
      </w:r>
      <w:r>
        <w:rPr>
          <w:rFonts w:hint="eastAsia"/>
          <w:color w:val="000000" w:themeColor="text1"/>
          <w:sz w:val="21"/>
          <w:szCs w:val="21"/>
          <w14:textFill>
            <w14:solidFill>
              <w14:schemeClr w14:val="tx1"/>
            </w14:solidFill>
          </w14:textFill>
        </w:rPr>
        <w:t>）各类建设单元内部管网及其构筑物、排水设施等具体验收项目应符合GB50268、GB 50141等有关规定。</w:t>
      </w:r>
    </w:p>
    <w:p w14:paraId="46428507">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5</w:t>
      </w:r>
      <w:r>
        <w:rPr>
          <w:rFonts w:hint="eastAsia"/>
          <w:color w:val="000000" w:themeColor="text1"/>
          <w:sz w:val="21"/>
          <w:szCs w:val="21"/>
          <w14:textFill>
            <w14:solidFill>
              <w14:schemeClr w14:val="tx1"/>
            </w14:solidFill>
          </w14:textFill>
        </w:rPr>
        <w:t>）工程质量验收不合格时，应按下列规定处理：</w:t>
      </w:r>
    </w:p>
    <w:p w14:paraId="72526F7C">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a</w:t>
      </w:r>
      <w:r>
        <w:rPr>
          <w:rFonts w:hint="eastAsia"/>
          <w:color w:val="000000" w:themeColor="text1"/>
          <w:sz w:val="21"/>
          <w:szCs w:val="21"/>
          <w14:textFill>
            <w14:solidFill>
              <w14:schemeClr w14:val="tx1"/>
            </w14:solidFill>
          </w14:textFill>
        </w:rPr>
        <w:t>）经返工返修或更换材料、构件、设备等的分项工程，应重新进行验收；</w:t>
      </w:r>
    </w:p>
    <w:p w14:paraId="7A3CB437">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b</w:t>
      </w:r>
      <w:r>
        <w:rPr>
          <w:rFonts w:hint="eastAsia"/>
          <w:color w:val="000000" w:themeColor="text1"/>
          <w:sz w:val="21"/>
          <w:szCs w:val="21"/>
          <w14:textFill>
            <w14:solidFill>
              <w14:schemeClr w14:val="tx1"/>
            </w14:solidFill>
          </w14:textFill>
        </w:rPr>
        <w:t>）经有相应资质的检测单位检测鉴定能够达到设计要求的分项工程，应予以验收；</w:t>
      </w:r>
    </w:p>
    <w:p w14:paraId="6C123910">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c</w:t>
      </w:r>
      <w:r>
        <w:rPr>
          <w:rFonts w:hint="eastAsia"/>
          <w:color w:val="000000" w:themeColor="text1"/>
          <w:sz w:val="21"/>
          <w:szCs w:val="21"/>
          <w14:textFill>
            <w14:solidFill>
              <w14:schemeClr w14:val="tx1"/>
            </w14:solidFill>
          </w14:textFill>
        </w:rPr>
        <w:t>）经有相应资质的检测单位检测鉴定达不到设计要求、但经原设计单位核算认可能够满足结构安全和使用功能要求的分项工程，可予以验收；</w:t>
      </w:r>
    </w:p>
    <w:p w14:paraId="323F483F">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d</w:t>
      </w:r>
      <w:r>
        <w:rPr>
          <w:rFonts w:hint="eastAsia"/>
          <w:color w:val="000000" w:themeColor="text1"/>
          <w:sz w:val="21"/>
          <w:szCs w:val="21"/>
          <w14:textFill>
            <w14:solidFill>
              <w14:schemeClr w14:val="tx1"/>
            </w14:solidFill>
          </w14:textFill>
        </w:rPr>
        <w:t>）经返修或加固处理的分项工程、分部（子分部）工程，改变外形尺寸但仍能满足使用要求，可按技术处理方案和协商文件进行验收。</w:t>
      </w:r>
    </w:p>
    <w:p w14:paraId="4F1F6815">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6</w:t>
      </w:r>
      <w:r>
        <w:rPr>
          <w:rFonts w:hint="eastAsia"/>
          <w:color w:val="000000" w:themeColor="text1"/>
          <w:sz w:val="21"/>
          <w:szCs w:val="21"/>
          <w14:textFill>
            <w14:solidFill>
              <w14:schemeClr w14:val="tx1"/>
            </w14:solidFill>
          </w14:textFill>
        </w:rPr>
        <w:t>）通过返修或加固处理仍不能满足结构安全或使用功能要求的分部(子分部)工程、单位(子单位)工程，严禁验收。</w:t>
      </w:r>
    </w:p>
    <w:p w14:paraId="5C56C923">
      <w:pPr>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br w:type="page"/>
      </w:r>
    </w:p>
    <w:p w14:paraId="7388419A">
      <w:pPr>
        <w:pStyle w:val="54"/>
        <w:spacing w:before="0" w:beforeLines="0" w:after="0" w:afterLines="0"/>
        <w:jc w:val="center"/>
      </w:pPr>
      <w:bookmarkStart w:id="34" w:name="_Toc32357"/>
      <w:r>
        <w:t>附 录 A</w:t>
      </w:r>
      <w:bookmarkEnd w:id="34"/>
    </w:p>
    <w:p w14:paraId="1D3D2312">
      <w:pPr>
        <w:spacing w:line="240"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（资料性）</w:t>
      </w:r>
    </w:p>
    <w:p w14:paraId="2D24556F">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各类污染防治可行技术</w:t>
      </w:r>
    </w:p>
    <w:p w14:paraId="3C3E57CA">
      <w:pPr>
        <w:pStyle w:val="35"/>
        <w:ind w:firstLine="420"/>
      </w:pPr>
      <w:r>
        <w:rPr>
          <w:rFonts w:hint="eastAsia"/>
        </w:rPr>
        <w:t>处理单一行业废水的工业污水集中处理厂，按相应行业的排污许可证申请与核发技术规范执行，其他水处理排污单位污水处理可行技术参照表</w:t>
      </w:r>
      <w:r>
        <w:t>A.1</w:t>
      </w:r>
      <w:r>
        <w:rPr>
          <w:rFonts w:hint="eastAsia"/>
        </w:rPr>
        <w:t>。</w:t>
      </w:r>
    </w:p>
    <w:p w14:paraId="1BF87ECE">
      <w:pPr>
        <w:widowControl/>
        <w:spacing w:line="240" w:lineRule="auto"/>
        <w:ind w:firstLine="422"/>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表</w:t>
      </w:r>
      <w:r>
        <w:rPr>
          <w:b/>
          <w:color w:val="000000" w:themeColor="text1"/>
          <w:sz w:val="21"/>
          <w:szCs w:val="21"/>
          <w14:textFill>
            <w14:solidFill>
              <w14:schemeClr w14:val="tx1"/>
            </w14:solidFill>
          </w14:textFill>
        </w:rPr>
        <w:t xml:space="preserve">A.1 </w:t>
      </w:r>
      <w:r>
        <w:rPr>
          <w:rFonts w:hint="eastAsia"/>
          <w:b/>
          <w:color w:val="000000" w:themeColor="text1"/>
          <w:sz w:val="21"/>
          <w:szCs w:val="21"/>
          <w14:textFill>
            <w14:solidFill>
              <w14:schemeClr w14:val="tx1"/>
            </w14:solidFill>
          </w14:textFill>
        </w:rPr>
        <w:t>污水处理可行技术参照表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3"/>
        <w:gridCol w:w="1813"/>
        <w:gridCol w:w="5270"/>
      </w:tblGrid>
      <w:tr w14:paraId="48837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573A01CF">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废水类别</w:t>
            </w:r>
          </w:p>
        </w:tc>
        <w:tc>
          <w:tcPr>
            <w:tcW w:w="1813" w:type="dxa"/>
            <w:vAlign w:val="center"/>
          </w:tcPr>
          <w:p w14:paraId="3902B48F">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执行标准</w:t>
            </w:r>
          </w:p>
        </w:tc>
        <w:tc>
          <w:tcPr>
            <w:tcW w:w="5270" w:type="dxa"/>
            <w:vAlign w:val="center"/>
          </w:tcPr>
          <w:p w14:paraId="417B58D4">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可行技术</w:t>
            </w:r>
          </w:p>
        </w:tc>
      </w:tr>
      <w:tr w14:paraId="4767F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Merge w:val="restart"/>
            <w:vAlign w:val="center"/>
          </w:tcPr>
          <w:p w14:paraId="34B3EA05">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生活污水</w:t>
            </w:r>
          </w:p>
        </w:tc>
        <w:tc>
          <w:tcPr>
            <w:tcW w:w="1813" w:type="dxa"/>
            <w:vAlign w:val="center"/>
          </w:tcPr>
          <w:p w14:paraId="787D35F5">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GB18918中二级标准、一级标准的B标准</w:t>
            </w:r>
          </w:p>
        </w:tc>
        <w:tc>
          <w:tcPr>
            <w:tcW w:w="5270" w:type="dxa"/>
            <w:vAlign w:val="center"/>
          </w:tcPr>
          <w:p w14:paraId="2BFBF35F">
            <w:pPr>
              <w:widowControl/>
              <w:spacing w:line="240" w:lineRule="auto"/>
              <w:ind w:firstLine="0" w:firstLineChars="0"/>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预处理:格栅、沉淀(沉砂、初沉)、调节；</w:t>
            </w:r>
          </w:p>
          <w:p w14:paraId="07BF49B7">
            <w:pPr>
              <w:widowControl/>
              <w:spacing w:line="240" w:lineRule="auto"/>
              <w:ind w:firstLine="0" w:firstLineChars="0"/>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生化处理:缺氧好氧、厌氧缺氧好氧、序批式活性污泥、氧化沟、曝气生物滤池、移动生物床反应器、膜生物反应器；</w:t>
            </w:r>
          </w:p>
          <w:p w14:paraId="03CA7076">
            <w:pPr>
              <w:widowControl/>
              <w:spacing w:line="240" w:lineRule="auto"/>
              <w:ind w:firstLine="0" w:firstLineChars="0"/>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深度处理:消毒(次氯酸钠、臭氧、紫外、二氧化氯)。</w:t>
            </w:r>
          </w:p>
        </w:tc>
      </w:tr>
      <w:tr w14:paraId="6E38E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Merge w:val="continue"/>
            <w:vAlign w:val="center"/>
          </w:tcPr>
          <w:p w14:paraId="67CC5738">
            <w:pPr>
              <w:widowControl/>
              <w:spacing w:line="240" w:lineRule="auto"/>
              <w:ind w:firstLine="0" w:firstLineChars="0"/>
              <w:jc w:val="center"/>
              <w:rPr>
                <w:color w:val="000000" w:themeColor="text1"/>
                <w:sz w:val="21"/>
                <w:szCs w:val="21"/>
                <w14:textFill>
                  <w14:solidFill>
                    <w14:schemeClr w14:val="tx1"/>
                  </w14:solidFill>
                </w14:textFill>
              </w:rPr>
            </w:pPr>
          </w:p>
        </w:tc>
        <w:tc>
          <w:tcPr>
            <w:tcW w:w="1813" w:type="dxa"/>
            <w:vAlign w:val="center"/>
          </w:tcPr>
          <w:p w14:paraId="2ED0DAC1">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执行GB18918中一级标准的A标准或更严格标准</w:t>
            </w:r>
          </w:p>
        </w:tc>
        <w:tc>
          <w:tcPr>
            <w:tcW w:w="5270" w:type="dxa"/>
            <w:vAlign w:val="center"/>
          </w:tcPr>
          <w:p w14:paraId="75CA6D67">
            <w:pPr>
              <w:widowControl/>
              <w:spacing w:line="240" w:lineRule="auto"/>
              <w:ind w:firstLine="0" w:firstLineChars="0"/>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预处理:格栅、沉淀(沉砂、初沉)、调节；</w:t>
            </w:r>
          </w:p>
          <w:p w14:paraId="19782931">
            <w:pPr>
              <w:widowControl/>
              <w:spacing w:line="240" w:lineRule="auto"/>
              <w:ind w:firstLine="0" w:firstLineChars="0"/>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生化处理:缺氧好氧、厌氧缺氧好氧、序批式活性污泥、接触氧化、氧化沟、移动生物床反应器、膜生物反应器；</w:t>
            </w:r>
          </w:p>
          <w:p w14:paraId="7FEFA1D8">
            <w:pPr>
              <w:widowControl/>
              <w:spacing w:line="240" w:lineRule="auto"/>
              <w:ind w:firstLine="0" w:firstLineChars="0"/>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深度处理:混凝沉淀、过滤、曝气生物滤池、微滤、超滤、消毒(次氯酸钠、臭氧紫外、二氧化氯)。</w:t>
            </w:r>
          </w:p>
        </w:tc>
      </w:tr>
      <w:tr w14:paraId="08C30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7" w:hRule="atLeast"/>
        </w:trPr>
        <w:tc>
          <w:tcPr>
            <w:tcW w:w="1213" w:type="dxa"/>
            <w:vAlign w:val="center"/>
          </w:tcPr>
          <w:p w14:paraId="47D4388E">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工业废水</w:t>
            </w:r>
          </w:p>
        </w:tc>
        <w:tc>
          <w:tcPr>
            <w:tcW w:w="1813" w:type="dxa"/>
            <w:vAlign w:val="center"/>
          </w:tcPr>
          <w:p w14:paraId="2463C771">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w:t>
            </w:r>
          </w:p>
        </w:tc>
        <w:tc>
          <w:tcPr>
            <w:tcW w:w="5270" w:type="dxa"/>
            <w:vAlign w:val="center"/>
          </w:tcPr>
          <w:p w14:paraId="376530EB">
            <w:pPr>
              <w:widowControl/>
              <w:spacing w:line="240" w:lineRule="auto"/>
              <w:ind w:firstLine="0" w:firstLineChars="0"/>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预处理</w:t>
            </w:r>
            <w:r>
              <w:rPr>
                <w:rFonts w:hint="eastAsia"/>
                <w:color w:val="000000" w:themeColor="text1"/>
                <w:sz w:val="21"/>
                <w:szCs w:val="21"/>
                <w:vertAlign w:val="superscript"/>
                <w14:textFill>
                  <w14:solidFill>
                    <w14:schemeClr w14:val="tx1"/>
                  </w14:solidFill>
                </w14:textFill>
              </w:rPr>
              <w:t>a</w:t>
            </w:r>
            <w:r>
              <w:rPr>
                <w:rFonts w:hint="eastAsia"/>
                <w:color w:val="000000" w:themeColor="text1"/>
                <w:sz w:val="21"/>
                <w:szCs w:val="21"/>
                <w14:textFill>
                  <w14:solidFill>
                    <w14:schemeClr w14:val="tx1"/>
                  </w14:solidFill>
                </w14:textFill>
              </w:rPr>
              <w:t>:沉淀、调节、气浮、水解酸化；</w:t>
            </w:r>
          </w:p>
          <w:p w14:paraId="12968012">
            <w:pPr>
              <w:widowControl/>
              <w:spacing w:line="240" w:lineRule="auto"/>
              <w:ind w:firstLine="0" w:firstLineChars="0"/>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生化处理:好氧、缺氧好氧、厌氧缺氧好氧、序批式活性污泥、氧化沟、移动生物床反应器、膜生物反应器；</w:t>
            </w:r>
          </w:p>
          <w:p w14:paraId="5398BC46">
            <w:pPr>
              <w:widowControl/>
              <w:spacing w:line="240" w:lineRule="auto"/>
              <w:ind w:firstLine="0" w:firstLineChars="0"/>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深度处理:反硝化滤池、化学沉淀、过滤、高级氧化、曝气生物滤池、生物接触氧化膜分离、离子交换。</w:t>
            </w:r>
          </w:p>
        </w:tc>
      </w:tr>
      <w:tr w14:paraId="65A5E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8296" w:type="dxa"/>
            <w:gridSpan w:val="3"/>
            <w:vAlign w:val="center"/>
          </w:tcPr>
          <w:p w14:paraId="27931D35">
            <w:pPr>
              <w:widowControl/>
              <w:spacing w:line="240" w:lineRule="auto"/>
              <w:ind w:firstLine="0" w:firstLineChars="0"/>
              <w:jc w:val="left"/>
              <w:rPr>
                <w:color w:val="000000" w:themeColor="text1"/>
                <w:sz w:val="21"/>
                <w:szCs w:val="21"/>
                <w14:textFill>
                  <w14:solidFill>
                    <w14:schemeClr w14:val="tx1"/>
                  </w14:solidFill>
                </w14:textFill>
              </w:rPr>
            </w:pPr>
            <w:r>
              <w:rPr>
                <w:rFonts w:hint="eastAsia"/>
                <w:color w:val="000000" w:themeColor="text1"/>
                <w:sz w:val="21"/>
                <w:szCs w:val="21"/>
                <w:vertAlign w:val="superscript"/>
                <w14:textFill>
                  <w14:solidFill>
                    <w14:schemeClr w14:val="tx1"/>
                  </w14:solidFill>
                </w14:textFill>
              </w:rPr>
              <w:t>a</w:t>
            </w:r>
            <w:r>
              <w:rPr>
                <w:rFonts w:hint="eastAsia"/>
                <w:color w:val="000000" w:themeColor="text1"/>
                <w:sz w:val="21"/>
                <w:szCs w:val="21"/>
                <w14:textFill>
                  <w14:solidFill>
                    <w14:schemeClr w14:val="tx1"/>
                  </w14:solidFill>
                </w14:textFill>
              </w:rPr>
              <w:t>工业废水间接排放时可以只有预处理段</w:t>
            </w:r>
          </w:p>
        </w:tc>
      </w:tr>
    </w:tbl>
    <w:p w14:paraId="2C5B5CD1">
      <w:pPr>
        <w:widowControl/>
        <w:spacing w:line="240" w:lineRule="auto"/>
        <w:ind w:firstLine="420"/>
        <w:jc w:val="left"/>
        <w:rPr>
          <w:color w:val="000000" w:themeColor="text1"/>
          <w:sz w:val="21"/>
          <w:szCs w:val="21"/>
          <w14:textFill>
            <w14:solidFill>
              <w14:schemeClr w14:val="tx1"/>
            </w14:solidFill>
          </w14:textFill>
        </w:rPr>
      </w:pPr>
    </w:p>
    <w:p w14:paraId="603D9784">
      <w:pPr>
        <w:widowControl/>
        <w:spacing w:line="240" w:lineRule="auto"/>
        <w:ind w:firstLine="0" w:firstLineChars="0"/>
        <w:jc w:val="left"/>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br w:type="page"/>
      </w:r>
    </w:p>
    <w:p w14:paraId="5D26A6D1">
      <w:pPr>
        <w:widowControl/>
        <w:spacing w:line="240" w:lineRule="auto"/>
        <w:ind w:firstLine="422"/>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表</w:t>
      </w:r>
      <w:r>
        <w:rPr>
          <w:b/>
          <w:color w:val="000000" w:themeColor="text1"/>
          <w:sz w:val="21"/>
          <w:szCs w:val="21"/>
          <w14:textFill>
            <w14:solidFill>
              <w14:schemeClr w14:val="tx1"/>
            </w14:solidFill>
          </w14:textFill>
        </w:rPr>
        <w:t xml:space="preserve">A.2 </w:t>
      </w:r>
      <w:r>
        <w:rPr>
          <w:rFonts w:hint="eastAsia"/>
          <w:b/>
          <w:color w:val="000000" w:themeColor="text1"/>
          <w:sz w:val="21"/>
          <w:szCs w:val="21"/>
          <w14:textFill>
            <w14:solidFill>
              <w14:schemeClr w14:val="tx1"/>
            </w14:solidFill>
          </w14:textFill>
        </w:rPr>
        <w:t>石化工业排污单位主要废水可行技术参照表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9"/>
        <w:gridCol w:w="1109"/>
        <w:gridCol w:w="2065"/>
        <w:gridCol w:w="3773"/>
      </w:tblGrid>
      <w:tr w14:paraId="3F5BB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349" w:type="dxa"/>
            <w:vAlign w:val="center"/>
          </w:tcPr>
          <w:p w14:paraId="67440DF4">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类别</w:t>
            </w:r>
          </w:p>
        </w:tc>
        <w:tc>
          <w:tcPr>
            <w:tcW w:w="3174" w:type="dxa"/>
            <w:gridSpan w:val="2"/>
            <w:vAlign w:val="center"/>
          </w:tcPr>
          <w:p w14:paraId="67EC42DC">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废水类型</w:t>
            </w:r>
          </w:p>
        </w:tc>
        <w:tc>
          <w:tcPr>
            <w:tcW w:w="3773" w:type="dxa"/>
            <w:vAlign w:val="center"/>
          </w:tcPr>
          <w:p w14:paraId="6E03ECC4">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可行技术</w:t>
            </w:r>
          </w:p>
        </w:tc>
      </w:tr>
      <w:tr w14:paraId="2DA8A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Merge w:val="restart"/>
            <w:vAlign w:val="center"/>
          </w:tcPr>
          <w:p w14:paraId="660A87A6">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工艺装置预处理污水</w:t>
            </w:r>
          </w:p>
        </w:tc>
        <w:tc>
          <w:tcPr>
            <w:tcW w:w="3174" w:type="dxa"/>
            <w:gridSpan w:val="2"/>
            <w:vAlign w:val="center"/>
          </w:tcPr>
          <w:p w14:paraId="7FE5AB92">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电脱盐工艺废水</w:t>
            </w:r>
          </w:p>
        </w:tc>
        <w:tc>
          <w:tcPr>
            <w:tcW w:w="3773" w:type="dxa"/>
            <w:vAlign w:val="center"/>
          </w:tcPr>
          <w:p w14:paraId="1C14A7CD">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破乳、除油</w:t>
            </w:r>
          </w:p>
        </w:tc>
      </w:tr>
      <w:tr w14:paraId="2E13F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Merge w:val="continue"/>
            <w:vAlign w:val="center"/>
          </w:tcPr>
          <w:p w14:paraId="2406D9DE">
            <w:pPr>
              <w:widowControl/>
              <w:spacing w:line="240" w:lineRule="auto"/>
              <w:ind w:firstLine="0" w:firstLineChars="0"/>
              <w:jc w:val="center"/>
              <w:rPr>
                <w:color w:val="000000" w:themeColor="text1"/>
                <w:sz w:val="21"/>
                <w:szCs w:val="21"/>
                <w14:textFill>
                  <w14:solidFill>
                    <w14:schemeClr w14:val="tx1"/>
                  </w14:solidFill>
                </w14:textFill>
              </w:rPr>
            </w:pPr>
          </w:p>
        </w:tc>
        <w:tc>
          <w:tcPr>
            <w:tcW w:w="3174" w:type="dxa"/>
            <w:gridSpan w:val="2"/>
            <w:vAlign w:val="center"/>
          </w:tcPr>
          <w:p w14:paraId="74050C87">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含硫含氨酸性水</w:t>
            </w:r>
          </w:p>
        </w:tc>
        <w:tc>
          <w:tcPr>
            <w:tcW w:w="3773" w:type="dxa"/>
            <w:vAlign w:val="center"/>
          </w:tcPr>
          <w:p w14:paraId="2DE18766">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汽提</w:t>
            </w:r>
          </w:p>
        </w:tc>
      </w:tr>
      <w:tr w14:paraId="15AA1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Merge w:val="continue"/>
            <w:vAlign w:val="center"/>
          </w:tcPr>
          <w:p w14:paraId="67B67A12">
            <w:pPr>
              <w:widowControl/>
              <w:spacing w:line="240" w:lineRule="auto"/>
              <w:ind w:firstLine="0" w:firstLineChars="0"/>
              <w:jc w:val="center"/>
              <w:rPr>
                <w:color w:val="000000" w:themeColor="text1"/>
                <w:sz w:val="21"/>
                <w:szCs w:val="21"/>
                <w14:textFill>
                  <w14:solidFill>
                    <w14:schemeClr w14:val="tx1"/>
                  </w14:solidFill>
                </w14:textFill>
              </w:rPr>
            </w:pPr>
          </w:p>
        </w:tc>
        <w:tc>
          <w:tcPr>
            <w:tcW w:w="3174" w:type="dxa"/>
            <w:gridSpan w:val="2"/>
            <w:vAlign w:val="center"/>
          </w:tcPr>
          <w:p w14:paraId="4A61D86A">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碱渣废水</w:t>
            </w:r>
          </w:p>
        </w:tc>
        <w:tc>
          <w:tcPr>
            <w:tcW w:w="3773" w:type="dxa"/>
            <w:vAlign w:val="center"/>
          </w:tcPr>
          <w:p w14:paraId="4E9EE9E0">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生化、湿式氧化</w:t>
            </w:r>
          </w:p>
        </w:tc>
      </w:tr>
      <w:tr w14:paraId="1A85D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Merge w:val="continue"/>
            <w:vAlign w:val="center"/>
          </w:tcPr>
          <w:p w14:paraId="2F2B37E5">
            <w:pPr>
              <w:widowControl/>
              <w:spacing w:line="240" w:lineRule="auto"/>
              <w:ind w:firstLine="0" w:firstLineChars="0"/>
              <w:jc w:val="center"/>
              <w:rPr>
                <w:color w:val="000000" w:themeColor="text1"/>
                <w:sz w:val="21"/>
                <w:szCs w:val="21"/>
                <w14:textFill>
                  <w14:solidFill>
                    <w14:schemeClr w14:val="tx1"/>
                  </w14:solidFill>
                </w14:textFill>
              </w:rPr>
            </w:pPr>
          </w:p>
        </w:tc>
        <w:tc>
          <w:tcPr>
            <w:tcW w:w="3174" w:type="dxa"/>
            <w:gridSpan w:val="2"/>
            <w:vAlign w:val="center"/>
          </w:tcPr>
          <w:p w14:paraId="0981D4F0">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酸碱废水</w:t>
            </w:r>
          </w:p>
        </w:tc>
        <w:tc>
          <w:tcPr>
            <w:tcW w:w="3773" w:type="dxa"/>
            <w:vAlign w:val="center"/>
          </w:tcPr>
          <w:p w14:paraId="6D2562F0">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中和</w:t>
            </w:r>
          </w:p>
        </w:tc>
      </w:tr>
      <w:tr w14:paraId="3CF90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Merge w:val="continue"/>
            <w:vAlign w:val="center"/>
          </w:tcPr>
          <w:p w14:paraId="0595D139">
            <w:pPr>
              <w:widowControl/>
              <w:spacing w:line="240" w:lineRule="auto"/>
              <w:ind w:firstLine="0" w:firstLineChars="0"/>
              <w:jc w:val="center"/>
              <w:rPr>
                <w:color w:val="000000" w:themeColor="text1"/>
                <w:sz w:val="21"/>
                <w:szCs w:val="21"/>
                <w14:textFill>
                  <w14:solidFill>
                    <w14:schemeClr w14:val="tx1"/>
                  </w14:solidFill>
                </w14:textFill>
              </w:rPr>
            </w:pPr>
          </w:p>
        </w:tc>
        <w:tc>
          <w:tcPr>
            <w:tcW w:w="3174" w:type="dxa"/>
            <w:gridSpan w:val="2"/>
            <w:vAlign w:val="center"/>
          </w:tcPr>
          <w:p w14:paraId="567A34FB">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对苯二甲酸(PTA)工艺废水</w:t>
            </w:r>
          </w:p>
        </w:tc>
        <w:tc>
          <w:tcPr>
            <w:tcW w:w="3773" w:type="dxa"/>
            <w:vAlign w:val="center"/>
          </w:tcPr>
          <w:p w14:paraId="5E7303E9">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沉淀、厌氧</w:t>
            </w:r>
          </w:p>
        </w:tc>
      </w:tr>
      <w:tr w14:paraId="6F34A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Merge w:val="continue"/>
            <w:vAlign w:val="center"/>
          </w:tcPr>
          <w:p w14:paraId="5CC5AA64">
            <w:pPr>
              <w:widowControl/>
              <w:spacing w:line="240" w:lineRule="auto"/>
              <w:ind w:firstLine="0" w:firstLineChars="0"/>
              <w:jc w:val="center"/>
              <w:rPr>
                <w:color w:val="000000" w:themeColor="text1"/>
                <w:sz w:val="21"/>
                <w:szCs w:val="21"/>
                <w14:textFill>
                  <w14:solidFill>
                    <w14:schemeClr w14:val="tx1"/>
                  </w14:solidFill>
                </w14:textFill>
              </w:rPr>
            </w:pPr>
          </w:p>
        </w:tc>
        <w:tc>
          <w:tcPr>
            <w:tcW w:w="3174" w:type="dxa"/>
            <w:gridSpan w:val="2"/>
            <w:vAlign w:val="center"/>
          </w:tcPr>
          <w:p w14:paraId="5BACE0AE">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含腈废水</w:t>
            </w:r>
          </w:p>
        </w:tc>
        <w:tc>
          <w:tcPr>
            <w:tcW w:w="3773" w:type="dxa"/>
            <w:vAlign w:val="center"/>
          </w:tcPr>
          <w:p w14:paraId="499D2360">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次氯酸钠或过氧化氢氧化</w:t>
            </w:r>
          </w:p>
        </w:tc>
      </w:tr>
      <w:tr w14:paraId="0EF23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Merge w:val="continue"/>
            <w:vAlign w:val="center"/>
          </w:tcPr>
          <w:p w14:paraId="79239727">
            <w:pPr>
              <w:widowControl/>
              <w:spacing w:line="240" w:lineRule="auto"/>
              <w:ind w:firstLine="0" w:firstLineChars="0"/>
              <w:jc w:val="center"/>
              <w:rPr>
                <w:color w:val="000000" w:themeColor="text1"/>
                <w:sz w:val="21"/>
                <w:szCs w:val="21"/>
                <w14:textFill>
                  <w14:solidFill>
                    <w14:schemeClr w14:val="tx1"/>
                  </w14:solidFill>
                </w14:textFill>
              </w:rPr>
            </w:pPr>
          </w:p>
        </w:tc>
        <w:tc>
          <w:tcPr>
            <w:tcW w:w="3174" w:type="dxa"/>
            <w:gridSpan w:val="2"/>
            <w:vAlign w:val="center"/>
          </w:tcPr>
          <w:p w14:paraId="1F0644F1">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纺丝过程含油剂废水</w:t>
            </w:r>
          </w:p>
        </w:tc>
        <w:tc>
          <w:tcPr>
            <w:tcW w:w="3773" w:type="dxa"/>
            <w:vAlign w:val="center"/>
          </w:tcPr>
          <w:p w14:paraId="3808C026">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破乳、混凝、固液分离</w:t>
            </w:r>
          </w:p>
        </w:tc>
      </w:tr>
      <w:tr w14:paraId="4A2E4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Merge w:val="continue"/>
            <w:vAlign w:val="center"/>
          </w:tcPr>
          <w:p w14:paraId="73E8C949">
            <w:pPr>
              <w:widowControl/>
              <w:spacing w:line="240" w:lineRule="auto"/>
              <w:ind w:firstLine="0" w:firstLineChars="0"/>
              <w:jc w:val="center"/>
              <w:rPr>
                <w:color w:val="000000" w:themeColor="text1"/>
                <w:sz w:val="21"/>
                <w:szCs w:val="21"/>
                <w14:textFill>
                  <w14:solidFill>
                    <w14:schemeClr w14:val="tx1"/>
                  </w14:solidFill>
                </w14:textFill>
              </w:rPr>
            </w:pPr>
          </w:p>
        </w:tc>
        <w:tc>
          <w:tcPr>
            <w:tcW w:w="3174" w:type="dxa"/>
            <w:gridSpan w:val="2"/>
            <w:vAlign w:val="center"/>
          </w:tcPr>
          <w:p w14:paraId="1D0476C6">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甲醇制烯烃(MTO)急冷塔塔底工艺废水</w:t>
            </w:r>
          </w:p>
        </w:tc>
        <w:tc>
          <w:tcPr>
            <w:tcW w:w="3773" w:type="dxa"/>
            <w:vAlign w:val="center"/>
          </w:tcPr>
          <w:p w14:paraId="50B8310B">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过滤、中和、厌氧</w:t>
            </w:r>
          </w:p>
        </w:tc>
      </w:tr>
      <w:tr w14:paraId="728AE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Merge w:val="continue"/>
            <w:vAlign w:val="center"/>
          </w:tcPr>
          <w:p w14:paraId="5EAE6E6B">
            <w:pPr>
              <w:widowControl/>
              <w:spacing w:line="240" w:lineRule="auto"/>
              <w:ind w:firstLine="0" w:firstLineChars="0"/>
              <w:jc w:val="center"/>
              <w:rPr>
                <w:color w:val="000000" w:themeColor="text1"/>
                <w:sz w:val="21"/>
                <w:szCs w:val="21"/>
                <w14:textFill>
                  <w14:solidFill>
                    <w14:schemeClr w14:val="tx1"/>
                  </w14:solidFill>
                </w14:textFill>
              </w:rPr>
            </w:pPr>
          </w:p>
        </w:tc>
        <w:tc>
          <w:tcPr>
            <w:tcW w:w="3174" w:type="dxa"/>
            <w:gridSpan w:val="2"/>
            <w:vAlign w:val="center"/>
          </w:tcPr>
          <w:p w14:paraId="1EAA5347">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苯酚丙酮工艺废水</w:t>
            </w:r>
          </w:p>
        </w:tc>
        <w:tc>
          <w:tcPr>
            <w:tcW w:w="3773" w:type="dxa"/>
            <w:vAlign w:val="center"/>
          </w:tcPr>
          <w:p w14:paraId="1C50F949">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酸化、萃取</w:t>
            </w:r>
          </w:p>
        </w:tc>
      </w:tr>
      <w:tr w14:paraId="2BED8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Merge w:val="continue"/>
            <w:vAlign w:val="center"/>
          </w:tcPr>
          <w:p w14:paraId="6C08D168">
            <w:pPr>
              <w:widowControl/>
              <w:spacing w:line="240" w:lineRule="auto"/>
              <w:ind w:firstLine="0" w:firstLineChars="0"/>
              <w:jc w:val="center"/>
              <w:rPr>
                <w:color w:val="000000" w:themeColor="text1"/>
                <w:sz w:val="21"/>
                <w:szCs w:val="21"/>
                <w14:textFill>
                  <w14:solidFill>
                    <w14:schemeClr w14:val="tx1"/>
                  </w14:solidFill>
                </w14:textFill>
              </w:rPr>
            </w:pPr>
          </w:p>
        </w:tc>
        <w:tc>
          <w:tcPr>
            <w:tcW w:w="3174" w:type="dxa"/>
            <w:gridSpan w:val="2"/>
            <w:vAlign w:val="center"/>
          </w:tcPr>
          <w:p w14:paraId="57D0FA3E">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丁二烯装置工艺废水</w:t>
            </w:r>
          </w:p>
        </w:tc>
        <w:tc>
          <w:tcPr>
            <w:tcW w:w="3773" w:type="dxa"/>
            <w:vAlign w:val="center"/>
          </w:tcPr>
          <w:p w14:paraId="09F17D41">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溶剂回收</w:t>
            </w:r>
          </w:p>
        </w:tc>
      </w:tr>
      <w:tr w14:paraId="086A8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Merge w:val="restart"/>
            <w:vAlign w:val="center"/>
          </w:tcPr>
          <w:p w14:paraId="051A8674">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外排或回用废水</w:t>
            </w:r>
          </w:p>
        </w:tc>
        <w:tc>
          <w:tcPr>
            <w:tcW w:w="1109" w:type="dxa"/>
            <w:vMerge w:val="restart"/>
            <w:vAlign w:val="center"/>
          </w:tcPr>
          <w:p w14:paraId="519D08B4">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工艺废水</w:t>
            </w:r>
          </w:p>
        </w:tc>
        <w:tc>
          <w:tcPr>
            <w:tcW w:w="2065" w:type="dxa"/>
            <w:vAlign w:val="center"/>
          </w:tcPr>
          <w:p w14:paraId="0B541D04">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含碱废水</w:t>
            </w:r>
          </w:p>
        </w:tc>
        <w:tc>
          <w:tcPr>
            <w:tcW w:w="3773" w:type="dxa"/>
            <w:vMerge w:val="restart"/>
            <w:vAlign w:val="center"/>
          </w:tcPr>
          <w:p w14:paraId="11D65F2A">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预处理+生化处理+深度处理预处理:隔油、气浮、混凝、调节等;</w:t>
            </w:r>
          </w:p>
          <w:p w14:paraId="7C11C152">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生化处理:活性污泥法、序批式活性污泥法(SBR)、厌缺氧/好氧法(A</w:t>
            </w:r>
            <w:r>
              <w:rPr>
                <w:rFonts w:hint="eastAsia"/>
                <w:color w:val="000000" w:themeColor="text1"/>
                <w:sz w:val="21"/>
                <w:szCs w:val="21"/>
                <w:vertAlign w:val="superscript"/>
                <w14:textFill>
                  <w14:solidFill>
                    <w14:schemeClr w14:val="tx1"/>
                  </w14:solidFill>
                </w14:textFill>
              </w:rPr>
              <w:t>2</w:t>
            </w:r>
            <w:r>
              <w:rPr>
                <w:color w:val="000000" w:themeColor="text1"/>
                <w:sz w:val="21"/>
                <w:szCs w:val="21"/>
                <w14:textFill>
                  <w14:solidFill>
                    <w14:schemeClr w14:val="tx1"/>
                  </w14:solidFill>
                </w14:textFill>
              </w:rPr>
              <w:t>/</w:t>
            </w:r>
            <w:r>
              <w:rPr>
                <w:rFonts w:hint="eastAsia"/>
                <w:color w:val="000000" w:themeColor="text1"/>
                <w:sz w:val="21"/>
                <w:szCs w:val="21"/>
                <w14:textFill>
                  <w14:solidFill>
                    <w14:schemeClr w14:val="tx1"/>
                  </w14:solidFill>
                </w14:textFill>
              </w:rPr>
              <w:t>0)、缺氧/好氧法(A0)、氧化沟法、膜生物法(MBR)、曝气生物滤池(BAF)、生物接触化法、一体化微氧高浓缺氧/好氧法等;</w:t>
            </w:r>
          </w:p>
          <w:p w14:paraId="21838F40">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深度处理:混凝、过滤、臭气氧化、超滤(UF)、反渗透</w:t>
            </w:r>
            <w:r>
              <w:rPr>
                <w:color w:val="000000" w:themeColor="text1"/>
                <w:sz w:val="21"/>
                <w:szCs w:val="21"/>
                <w14:textFill>
                  <w14:solidFill>
                    <w14:schemeClr w14:val="tx1"/>
                  </w14:solidFill>
                </w14:textFill>
              </w:rPr>
              <w:t>(RO)</w:t>
            </w:r>
          </w:p>
        </w:tc>
      </w:tr>
      <w:tr w14:paraId="30BE3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Merge w:val="continue"/>
            <w:vAlign w:val="center"/>
          </w:tcPr>
          <w:p w14:paraId="7323E766">
            <w:pPr>
              <w:widowControl/>
              <w:spacing w:line="240" w:lineRule="auto"/>
              <w:ind w:firstLine="0" w:firstLineChars="0"/>
              <w:jc w:val="center"/>
              <w:rPr>
                <w:color w:val="000000" w:themeColor="text1"/>
                <w:sz w:val="21"/>
                <w:szCs w:val="21"/>
                <w14:textFill>
                  <w14:solidFill>
                    <w14:schemeClr w14:val="tx1"/>
                  </w14:solidFill>
                </w14:textFill>
              </w:rPr>
            </w:pPr>
          </w:p>
        </w:tc>
        <w:tc>
          <w:tcPr>
            <w:tcW w:w="1109" w:type="dxa"/>
            <w:vMerge w:val="continue"/>
            <w:vAlign w:val="center"/>
          </w:tcPr>
          <w:p w14:paraId="1AC805F4">
            <w:pPr>
              <w:widowControl/>
              <w:spacing w:line="240" w:lineRule="auto"/>
              <w:ind w:firstLine="0" w:firstLineChars="0"/>
              <w:jc w:val="center"/>
              <w:rPr>
                <w:color w:val="000000" w:themeColor="text1"/>
                <w:sz w:val="21"/>
                <w:szCs w:val="21"/>
                <w14:textFill>
                  <w14:solidFill>
                    <w14:schemeClr w14:val="tx1"/>
                  </w14:solidFill>
                </w14:textFill>
              </w:rPr>
            </w:pPr>
          </w:p>
        </w:tc>
        <w:tc>
          <w:tcPr>
            <w:tcW w:w="2065" w:type="dxa"/>
            <w:vAlign w:val="center"/>
          </w:tcPr>
          <w:p w14:paraId="43042681">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含硫含氨酸性水</w:t>
            </w:r>
          </w:p>
        </w:tc>
        <w:tc>
          <w:tcPr>
            <w:tcW w:w="3773" w:type="dxa"/>
            <w:vMerge w:val="continue"/>
            <w:vAlign w:val="center"/>
          </w:tcPr>
          <w:p w14:paraId="38AA3B93">
            <w:pPr>
              <w:widowControl/>
              <w:spacing w:line="240" w:lineRule="auto"/>
              <w:ind w:firstLine="0" w:firstLineChars="0"/>
              <w:jc w:val="center"/>
              <w:rPr>
                <w:color w:val="000000" w:themeColor="text1"/>
                <w:sz w:val="21"/>
                <w:szCs w:val="21"/>
                <w14:textFill>
                  <w14:solidFill>
                    <w14:schemeClr w14:val="tx1"/>
                  </w14:solidFill>
                </w14:textFill>
              </w:rPr>
            </w:pPr>
          </w:p>
        </w:tc>
      </w:tr>
      <w:tr w14:paraId="37B56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Merge w:val="continue"/>
            <w:vAlign w:val="center"/>
          </w:tcPr>
          <w:p w14:paraId="551D000E">
            <w:pPr>
              <w:widowControl/>
              <w:spacing w:line="240" w:lineRule="auto"/>
              <w:ind w:firstLine="0" w:firstLineChars="0"/>
              <w:jc w:val="center"/>
              <w:rPr>
                <w:color w:val="000000" w:themeColor="text1"/>
                <w:sz w:val="21"/>
                <w:szCs w:val="21"/>
                <w14:textFill>
                  <w14:solidFill>
                    <w14:schemeClr w14:val="tx1"/>
                  </w14:solidFill>
                </w14:textFill>
              </w:rPr>
            </w:pPr>
          </w:p>
        </w:tc>
        <w:tc>
          <w:tcPr>
            <w:tcW w:w="1109" w:type="dxa"/>
            <w:vMerge w:val="continue"/>
            <w:vAlign w:val="center"/>
          </w:tcPr>
          <w:p w14:paraId="63F7E7E4">
            <w:pPr>
              <w:widowControl/>
              <w:spacing w:line="240" w:lineRule="auto"/>
              <w:ind w:firstLine="0" w:firstLineChars="0"/>
              <w:jc w:val="center"/>
              <w:rPr>
                <w:color w:val="000000" w:themeColor="text1"/>
                <w:sz w:val="21"/>
                <w:szCs w:val="21"/>
                <w14:textFill>
                  <w14:solidFill>
                    <w14:schemeClr w14:val="tx1"/>
                  </w14:solidFill>
                </w14:textFill>
              </w:rPr>
            </w:pPr>
          </w:p>
        </w:tc>
        <w:tc>
          <w:tcPr>
            <w:tcW w:w="2065" w:type="dxa"/>
            <w:vAlign w:val="center"/>
          </w:tcPr>
          <w:p w14:paraId="26E50D00">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含苯系物废水</w:t>
            </w:r>
          </w:p>
        </w:tc>
        <w:tc>
          <w:tcPr>
            <w:tcW w:w="3773" w:type="dxa"/>
            <w:vMerge w:val="continue"/>
            <w:vAlign w:val="center"/>
          </w:tcPr>
          <w:p w14:paraId="627E872D">
            <w:pPr>
              <w:widowControl/>
              <w:spacing w:line="240" w:lineRule="auto"/>
              <w:ind w:firstLine="0" w:firstLineChars="0"/>
              <w:jc w:val="center"/>
              <w:rPr>
                <w:color w:val="000000" w:themeColor="text1"/>
                <w:sz w:val="21"/>
                <w:szCs w:val="21"/>
                <w14:textFill>
                  <w14:solidFill>
                    <w14:schemeClr w14:val="tx1"/>
                  </w14:solidFill>
                </w14:textFill>
              </w:rPr>
            </w:pPr>
          </w:p>
        </w:tc>
      </w:tr>
      <w:tr w14:paraId="58E75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Merge w:val="continue"/>
            <w:vAlign w:val="center"/>
          </w:tcPr>
          <w:p w14:paraId="25BE3058">
            <w:pPr>
              <w:widowControl/>
              <w:spacing w:line="240" w:lineRule="auto"/>
              <w:ind w:firstLine="0" w:firstLineChars="0"/>
              <w:jc w:val="center"/>
              <w:rPr>
                <w:color w:val="000000" w:themeColor="text1"/>
                <w:sz w:val="21"/>
                <w:szCs w:val="21"/>
                <w14:textFill>
                  <w14:solidFill>
                    <w14:schemeClr w14:val="tx1"/>
                  </w14:solidFill>
                </w14:textFill>
              </w:rPr>
            </w:pPr>
          </w:p>
        </w:tc>
        <w:tc>
          <w:tcPr>
            <w:tcW w:w="1109" w:type="dxa"/>
            <w:vMerge w:val="continue"/>
            <w:vAlign w:val="center"/>
          </w:tcPr>
          <w:p w14:paraId="3503EA05">
            <w:pPr>
              <w:widowControl/>
              <w:spacing w:line="240" w:lineRule="auto"/>
              <w:ind w:firstLine="0" w:firstLineChars="0"/>
              <w:jc w:val="center"/>
              <w:rPr>
                <w:color w:val="000000" w:themeColor="text1"/>
                <w:sz w:val="21"/>
                <w:szCs w:val="21"/>
                <w14:textFill>
                  <w14:solidFill>
                    <w14:schemeClr w14:val="tx1"/>
                  </w14:solidFill>
                </w14:textFill>
              </w:rPr>
            </w:pPr>
          </w:p>
        </w:tc>
        <w:tc>
          <w:tcPr>
            <w:tcW w:w="2065" w:type="dxa"/>
            <w:vAlign w:val="center"/>
          </w:tcPr>
          <w:p w14:paraId="3E9704DC">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含盐废水</w:t>
            </w:r>
          </w:p>
        </w:tc>
        <w:tc>
          <w:tcPr>
            <w:tcW w:w="3773" w:type="dxa"/>
            <w:vMerge w:val="continue"/>
            <w:vAlign w:val="center"/>
          </w:tcPr>
          <w:p w14:paraId="1C8CA080">
            <w:pPr>
              <w:widowControl/>
              <w:spacing w:line="240" w:lineRule="auto"/>
              <w:ind w:firstLine="0" w:firstLineChars="0"/>
              <w:jc w:val="center"/>
              <w:rPr>
                <w:color w:val="000000" w:themeColor="text1"/>
                <w:sz w:val="21"/>
                <w:szCs w:val="21"/>
                <w14:textFill>
                  <w14:solidFill>
                    <w14:schemeClr w14:val="tx1"/>
                  </w14:solidFill>
                </w14:textFill>
              </w:rPr>
            </w:pPr>
          </w:p>
        </w:tc>
      </w:tr>
      <w:tr w14:paraId="51274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Merge w:val="continue"/>
            <w:vAlign w:val="center"/>
          </w:tcPr>
          <w:p w14:paraId="3491B1FB">
            <w:pPr>
              <w:widowControl/>
              <w:spacing w:line="240" w:lineRule="auto"/>
              <w:ind w:firstLine="0" w:firstLineChars="0"/>
              <w:jc w:val="center"/>
              <w:rPr>
                <w:color w:val="000000" w:themeColor="text1"/>
                <w:sz w:val="21"/>
                <w:szCs w:val="21"/>
                <w14:textFill>
                  <w14:solidFill>
                    <w14:schemeClr w14:val="tx1"/>
                  </w14:solidFill>
                </w14:textFill>
              </w:rPr>
            </w:pPr>
          </w:p>
        </w:tc>
        <w:tc>
          <w:tcPr>
            <w:tcW w:w="1109" w:type="dxa"/>
            <w:vMerge w:val="continue"/>
            <w:vAlign w:val="center"/>
          </w:tcPr>
          <w:p w14:paraId="5938304D">
            <w:pPr>
              <w:widowControl/>
              <w:spacing w:line="240" w:lineRule="auto"/>
              <w:ind w:firstLine="0" w:firstLineChars="0"/>
              <w:jc w:val="center"/>
              <w:rPr>
                <w:color w:val="000000" w:themeColor="text1"/>
                <w:sz w:val="21"/>
                <w:szCs w:val="21"/>
                <w14:textFill>
                  <w14:solidFill>
                    <w14:schemeClr w14:val="tx1"/>
                  </w14:solidFill>
                </w14:textFill>
              </w:rPr>
            </w:pPr>
          </w:p>
        </w:tc>
        <w:tc>
          <w:tcPr>
            <w:tcW w:w="2065" w:type="dxa"/>
            <w:vAlign w:val="center"/>
          </w:tcPr>
          <w:p w14:paraId="7F253EDD">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含油废水</w:t>
            </w:r>
          </w:p>
        </w:tc>
        <w:tc>
          <w:tcPr>
            <w:tcW w:w="3773" w:type="dxa"/>
            <w:vMerge w:val="continue"/>
            <w:vAlign w:val="center"/>
          </w:tcPr>
          <w:p w14:paraId="32E08AF6">
            <w:pPr>
              <w:widowControl/>
              <w:spacing w:line="240" w:lineRule="auto"/>
              <w:ind w:firstLine="0" w:firstLineChars="0"/>
              <w:jc w:val="center"/>
              <w:rPr>
                <w:color w:val="000000" w:themeColor="text1"/>
                <w:sz w:val="21"/>
                <w:szCs w:val="21"/>
                <w14:textFill>
                  <w14:solidFill>
                    <w14:schemeClr w14:val="tx1"/>
                  </w14:solidFill>
                </w14:textFill>
              </w:rPr>
            </w:pPr>
          </w:p>
        </w:tc>
      </w:tr>
      <w:tr w14:paraId="0C65D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Merge w:val="continue"/>
            <w:vAlign w:val="center"/>
          </w:tcPr>
          <w:p w14:paraId="32065CFC">
            <w:pPr>
              <w:widowControl/>
              <w:spacing w:line="240" w:lineRule="auto"/>
              <w:ind w:firstLine="0" w:firstLineChars="0"/>
              <w:jc w:val="center"/>
              <w:rPr>
                <w:color w:val="000000" w:themeColor="text1"/>
                <w:sz w:val="21"/>
                <w:szCs w:val="21"/>
                <w14:textFill>
                  <w14:solidFill>
                    <w14:schemeClr w14:val="tx1"/>
                  </w14:solidFill>
                </w14:textFill>
              </w:rPr>
            </w:pPr>
          </w:p>
        </w:tc>
        <w:tc>
          <w:tcPr>
            <w:tcW w:w="1109" w:type="dxa"/>
            <w:vMerge w:val="continue"/>
            <w:vAlign w:val="center"/>
          </w:tcPr>
          <w:p w14:paraId="47AD7B67">
            <w:pPr>
              <w:widowControl/>
              <w:spacing w:line="240" w:lineRule="auto"/>
              <w:ind w:firstLine="0" w:firstLineChars="0"/>
              <w:jc w:val="center"/>
              <w:rPr>
                <w:color w:val="000000" w:themeColor="text1"/>
                <w:sz w:val="21"/>
                <w:szCs w:val="21"/>
                <w14:textFill>
                  <w14:solidFill>
                    <w14:schemeClr w14:val="tx1"/>
                  </w14:solidFill>
                </w14:textFill>
              </w:rPr>
            </w:pPr>
          </w:p>
        </w:tc>
        <w:tc>
          <w:tcPr>
            <w:tcW w:w="2065" w:type="dxa"/>
            <w:vAlign w:val="center"/>
          </w:tcPr>
          <w:p w14:paraId="316E73D9">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其他工艺废水</w:t>
            </w:r>
          </w:p>
        </w:tc>
        <w:tc>
          <w:tcPr>
            <w:tcW w:w="3773" w:type="dxa"/>
            <w:vMerge w:val="continue"/>
            <w:vAlign w:val="center"/>
          </w:tcPr>
          <w:p w14:paraId="49FFDB3E">
            <w:pPr>
              <w:widowControl/>
              <w:spacing w:line="240" w:lineRule="auto"/>
              <w:ind w:firstLine="0" w:firstLineChars="0"/>
              <w:jc w:val="center"/>
              <w:rPr>
                <w:color w:val="000000" w:themeColor="text1"/>
                <w:sz w:val="21"/>
                <w:szCs w:val="21"/>
                <w14:textFill>
                  <w14:solidFill>
                    <w14:schemeClr w14:val="tx1"/>
                  </w14:solidFill>
                </w14:textFill>
              </w:rPr>
            </w:pPr>
          </w:p>
        </w:tc>
      </w:tr>
      <w:tr w14:paraId="34ACE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Merge w:val="continue"/>
            <w:vAlign w:val="center"/>
          </w:tcPr>
          <w:p w14:paraId="0794E2DB">
            <w:pPr>
              <w:widowControl/>
              <w:spacing w:line="240" w:lineRule="auto"/>
              <w:ind w:firstLine="0" w:firstLineChars="0"/>
              <w:jc w:val="center"/>
              <w:rPr>
                <w:color w:val="000000" w:themeColor="text1"/>
                <w:sz w:val="21"/>
                <w:szCs w:val="21"/>
                <w14:textFill>
                  <w14:solidFill>
                    <w14:schemeClr w14:val="tx1"/>
                  </w14:solidFill>
                </w14:textFill>
              </w:rPr>
            </w:pPr>
          </w:p>
        </w:tc>
        <w:tc>
          <w:tcPr>
            <w:tcW w:w="3174" w:type="dxa"/>
            <w:gridSpan w:val="2"/>
            <w:vAlign w:val="center"/>
          </w:tcPr>
          <w:p w14:paraId="4D2B6946">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污染雨水</w:t>
            </w:r>
          </w:p>
        </w:tc>
        <w:tc>
          <w:tcPr>
            <w:tcW w:w="3773" w:type="dxa"/>
            <w:vMerge w:val="continue"/>
            <w:vAlign w:val="center"/>
          </w:tcPr>
          <w:p w14:paraId="4AFF8A2E">
            <w:pPr>
              <w:widowControl/>
              <w:spacing w:line="240" w:lineRule="auto"/>
              <w:ind w:firstLine="0" w:firstLineChars="0"/>
              <w:jc w:val="center"/>
              <w:rPr>
                <w:color w:val="000000" w:themeColor="text1"/>
                <w:sz w:val="21"/>
                <w:szCs w:val="21"/>
                <w14:textFill>
                  <w14:solidFill>
                    <w14:schemeClr w14:val="tx1"/>
                  </w14:solidFill>
                </w14:textFill>
              </w:rPr>
            </w:pPr>
          </w:p>
        </w:tc>
      </w:tr>
      <w:tr w14:paraId="2CC75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Merge w:val="continue"/>
            <w:vAlign w:val="center"/>
          </w:tcPr>
          <w:p w14:paraId="50E83E87">
            <w:pPr>
              <w:widowControl/>
              <w:spacing w:line="240" w:lineRule="auto"/>
              <w:ind w:firstLine="0" w:firstLineChars="0"/>
              <w:jc w:val="center"/>
              <w:rPr>
                <w:color w:val="000000" w:themeColor="text1"/>
                <w:sz w:val="21"/>
                <w:szCs w:val="21"/>
                <w14:textFill>
                  <w14:solidFill>
                    <w14:schemeClr w14:val="tx1"/>
                  </w14:solidFill>
                </w14:textFill>
              </w:rPr>
            </w:pPr>
          </w:p>
        </w:tc>
        <w:tc>
          <w:tcPr>
            <w:tcW w:w="3174" w:type="dxa"/>
            <w:gridSpan w:val="2"/>
            <w:vAlign w:val="center"/>
          </w:tcPr>
          <w:p w14:paraId="23053F40">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生活污水</w:t>
            </w:r>
          </w:p>
        </w:tc>
        <w:tc>
          <w:tcPr>
            <w:tcW w:w="3773" w:type="dxa"/>
            <w:vMerge w:val="continue"/>
            <w:vAlign w:val="center"/>
          </w:tcPr>
          <w:p w14:paraId="3783C239">
            <w:pPr>
              <w:widowControl/>
              <w:spacing w:line="240" w:lineRule="auto"/>
              <w:ind w:firstLine="0" w:firstLineChars="0"/>
              <w:jc w:val="center"/>
              <w:rPr>
                <w:color w:val="000000" w:themeColor="text1"/>
                <w:sz w:val="21"/>
                <w:szCs w:val="21"/>
                <w14:textFill>
                  <w14:solidFill>
                    <w14:schemeClr w14:val="tx1"/>
                  </w14:solidFill>
                </w14:textFill>
              </w:rPr>
            </w:pPr>
          </w:p>
        </w:tc>
      </w:tr>
      <w:tr w14:paraId="62766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Merge w:val="continue"/>
            <w:vAlign w:val="center"/>
          </w:tcPr>
          <w:p w14:paraId="3A47BE1A">
            <w:pPr>
              <w:widowControl/>
              <w:spacing w:line="240" w:lineRule="auto"/>
              <w:ind w:firstLine="0" w:firstLineChars="0"/>
              <w:jc w:val="center"/>
              <w:rPr>
                <w:color w:val="000000" w:themeColor="text1"/>
                <w:sz w:val="21"/>
                <w:szCs w:val="21"/>
                <w14:textFill>
                  <w14:solidFill>
                    <w14:schemeClr w14:val="tx1"/>
                  </w14:solidFill>
                </w14:textFill>
              </w:rPr>
            </w:pPr>
          </w:p>
        </w:tc>
        <w:tc>
          <w:tcPr>
            <w:tcW w:w="3174" w:type="dxa"/>
            <w:gridSpan w:val="2"/>
            <w:vAlign w:val="center"/>
          </w:tcPr>
          <w:p w14:paraId="6578D3E8">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循环冷却水排污水</w:t>
            </w:r>
          </w:p>
        </w:tc>
        <w:tc>
          <w:tcPr>
            <w:tcW w:w="3773" w:type="dxa"/>
            <w:vMerge w:val="continue"/>
            <w:vAlign w:val="center"/>
          </w:tcPr>
          <w:p w14:paraId="403B12F4">
            <w:pPr>
              <w:widowControl/>
              <w:spacing w:line="240" w:lineRule="auto"/>
              <w:ind w:firstLine="0" w:firstLineChars="0"/>
              <w:jc w:val="center"/>
              <w:rPr>
                <w:color w:val="000000" w:themeColor="text1"/>
                <w:sz w:val="21"/>
                <w:szCs w:val="21"/>
                <w14:textFill>
                  <w14:solidFill>
                    <w14:schemeClr w14:val="tx1"/>
                  </w14:solidFill>
                </w14:textFill>
              </w:rPr>
            </w:pPr>
          </w:p>
        </w:tc>
      </w:tr>
      <w:tr w14:paraId="0BCB0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Merge w:val="continue"/>
            <w:vAlign w:val="center"/>
          </w:tcPr>
          <w:p w14:paraId="64CA0E05">
            <w:pPr>
              <w:widowControl/>
              <w:spacing w:line="240" w:lineRule="auto"/>
              <w:ind w:firstLine="0" w:firstLineChars="0"/>
              <w:jc w:val="center"/>
              <w:rPr>
                <w:color w:val="000000" w:themeColor="text1"/>
                <w:sz w:val="21"/>
                <w:szCs w:val="21"/>
                <w14:textFill>
                  <w14:solidFill>
                    <w14:schemeClr w14:val="tx1"/>
                  </w14:solidFill>
                </w14:textFill>
              </w:rPr>
            </w:pPr>
          </w:p>
        </w:tc>
        <w:tc>
          <w:tcPr>
            <w:tcW w:w="3174" w:type="dxa"/>
            <w:gridSpan w:val="2"/>
            <w:vAlign w:val="center"/>
          </w:tcPr>
          <w:p w14:paraId="3FCB1661">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蒸气发生器排污水</w:t>
            </w:r>
          </w:p>
        </w:tc>
        <w:tc>
          <w:tcPr>
            <w:tcW w:w="3773" w:type="dxa"/>
            <w:vMerge w:val="restart"/>
            <w:vAlign w:val="center"/>
          </w:tcPr>
          <w:p w14:paraId="721DF1DD">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回用</w:t>
            </w:r>
          </w:p>
        </w:tc>
      </w:tr>
      <w:tr w14:paraId="45487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Merge w:val="continue"/>
            <w:vAlign w:val="center"/>
          </w:tcPr>
          <w:p w14:paraId="2CA3B919">
            <w:pPr>
              <w:widowControl/>
              <w:spacing w:line="240" w:lineRule="auto"/>
              <w:ind w:firstLine="0" w:firstLineChars="0"/>
              <w:jc w:val="center"/>
              <w:rPr>
                <w:color w:val="000000" w:themeColor="text1"/>
                <w:sz w:val="21"/>
                <w:szCs w:val="21"/>
                <w14:textFill>
                  <w14:solidFill>
                    <w14:schemeClr w14:val="tx1"/>
                  </w14:solidFill>
                </w14:textFill>
              </w:rPr>
            </w:pPr>
          </w:p>
        </w:tc>
        <w:tc>
          <w:tcPr>
            <w:tcW w:w="3174" w:type="dxa"/>
            <w:gridSpan w:val="2"/>
            <w:vAlign w:val="center"/>
          </w:tcPr>
          <w:p w14:paraId="3F54E04B">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余热锅炉排污水</w:t>
            </w:r>
          </w:p>
        </w:tc>
        <w:tc>
          <w:tcPr>
            <w:tcW w:w="3773" w:type="dxa"/>
            <w:vMerge w:val="continue"/>
            <w:vAlign w:val="center"/>
          </w:tcPr>
          <w:p w14:paraId="56A8B761">
            <w:pPr>
              <w:widowControl/>
              <w:spacing w:line="240" w:lineRule="auto"/>
              <w:ind w:firstLine="0" w:firstLineChars="0"/>
              <w:jc w:val="center"/>
              <w:rPr>
                <w:color w:val="000000" w:themeColor="text1"/>
                <w:sz w:val="21"/>
                <w:szCs w:val="21"/>
                <w14:textFill>
                  <w14:solidFill>
                    <w14:schemeClr w14:val="tx1"/>
                  </w14:solidFill>
                </w14:textFill>
              </w:rPr>
            </w:pPr>
          </w:p>
        </w:tc>
      </w:tr>
      <w:tr w14:paraId="2621D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Merge w:val="continue"/>
            <w:vAlign w:val="center"/>
          </w:tcPr>
          <w:p w14:paraId="10794C5B">
            <w:pPr>
              <w:widowControl/>
              <w:spacing w:line="240" w:lineRule="auto"/>
              <w:ind w:firstLine="0" w:firstLineChars="0"/>
              <w:jc w:val="center"/>
              <w:rPr>
                <w:color w:val="000000" w:themeColor="text1"/>
                <w:sz w:val="21"/>
                <w:szCs w:val="21"/>
                <w14:textFill>
                  <w14:solidFill>
                    <w14:schemeClr w14:val="tx1"/>
                  </w14:solidFill>
                </w14:textFill>
              </w:rPr>
            </w:pPr>
          </w:p>
        </w:tc>
        <w:tc>
          <w:tcPr>
            <w:tcW w:w="3174" w:type="dxa"/>
            <w:gridSpan w:val="2"/>
            <w:vAlign w:val="center"/>
          </w:tcPr>
          <w:p w14:paraId="5E9C3925">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化学水制水排污水</w:t>
            </w:r>
          </w:p>
        </w:tc>
        <w:tc>
          <w:tcPr>
            <w:tcW w:w="3773" w:type="dxa"/>
            <w:vAlign w:val="center"/>
          </w:tcPr>
          <w:p w14:paraId="2BE66FCD">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中和</w:t>
            </w:r>
          </w:p>
        </w:tc>
      </w:tr>
      <w:tr w14:paraId="05201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Merge w:val="continue"/>
            <w:vAlign w:val="center"/>
          </w:tcPr>
          <w:p w14:paraId="2B8E5286">
            <w:pPr>
              <w:widowControl/>
              <w:spacing w:line="240" w:lineRule="auto"/>
              <w:ind w:firstLine="0" w:firstLineChars="0"/>
              <w:jc w:val="center"/>
              <w:rPr>
                <w:color w:val="000000" w:themeColor="text1"/>
                <w:sz w:val="21"/>
                <w:szCs w:val="21"/>
                <w14:textFill>
                  <w14:solidFill>
                    <w14:schemeClr w14:val="tx1"/>
                  </w14:solidFill>
                </w14:textFill>
              </w:rPr>
            </w:pPr>
          </w:p>
        </w:tc>
        <w:tc>
          <w:tcPr>
            <w:tcW w:w="3174" w:type="dxa"/>
            <w:gridSpan w:val="2"/>
            <w:vAlign w:val="center"/>
          </w:tcPr>
          <w:p w14:paraId="12F212DE">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脱硫废水</w:t>
            </w:r>
          </w:p>
        </w:tc>
        <w:tc>
          <w:tcPr>
            <w:tcW w:w="3773" w:type="dxa"/>
            <w:vAlign w:val="center"/>
          </w:tcPr>
          <w:p w14:paraId="59555D6B">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过滤(沉淀)+氧化</w:t>
            </w:r>
          </w:p>
        </w:tc>
      </w:tr>
    </w:tbl>
    <w:p w14:paraId="20FD34C1">
      <w:pPr>
        <w:widowControl/>
        <w:spacing w:line="240" w:lineRule="auto"/>
        <w:ind w:firstLine="420"/>
        <w:jc w:val="left"/>
        <w:rPr>
          <w:color w:val="000000" w:themeColor="text1"/>
          <w:sz w:val="21"/>
          <w:szCs w:val="21"/>
          <w14:textFill>
            <w14:solidFill>
              <w14:schemeClr w14:val="tx1"/>
            </w14:solidFill>
          </w14:textFill>
        </w:rPr>
      </w:pPr>
    </w:p>
    <w:p w14:paraId="5DBDC9A7">
      <w:pPr>
        <w:widowControl/>
        <w:spacing w:line="240" w:lineRule="auto"/>
        <w:ind w:firstLine="0" w:firstLineChars="0"/>
        <w:jc w:val="left"/>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br w:type="page"/>
      </w:r>
    </w:p>
    <w:p w14:paraId="25CCFD09">
      <w:pPr>
        <w:widowControl/>
        <w:spacing w:line="240" w:lineRule="auto"/>
        <w:ind w:firstLine="422"/>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表</w:t>
      </w:r>
      <w:r>
        <w:rPr>
          <w:b/>
          <w:color w:val="000000" w:themeColor="text1"/>
          <w:sz w:val="21"/>
          <w:szCs w:val="21"/>
          <w14:textFill>
            <w14:solidFill>
              <w14:schemeClr w14:val="tx1"/>
            </w14:solidFill>
          </w14:textFill>
        </w:rPr>
        <w:t xml:space="preserve">A.3 </w:t>
      </w:r>
      <w:r>
        <w:rPr>
          <w:rFonts w:hint="eastAsia"/>
          <w:b/>
          <w:color w:val="000000" w:themeColor="text1"/>
          <w:sz w:val="21"/>
          <w:szCs w:val="21"/>
          <w14:textFill>
            <w14:solidFill>
              <w14:schemeClr w14:val="tx1"/>
            </w14:solidFill>
          </w14:textFill>
        </w:rPr>
        <w:t>电镀废水治理可行技术参照表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5"/>
        <w:gridCol w:w="1106"/>
        <w:gridCol w:w="2068"/>
        <w:gridCol w:w="2481"/>
        <w:gridCol w:w="1566"/>
      </w:tblGrid>
      <w:tr w14:paraId="4FFD7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81" w:type="dxa"/>
            <w:gridSpan w:val="2"/>
            <w:vAlign w:val="center"/>
          </w:tcPr>
          <w:p w14:paraId="0C66041C">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废水类别</w:t>
            </w:r>
          </w:p>
        </w:tc>
        <w:tc>
          <w:tcPr>
            <w:tcW w:w="2068" w:type="dxa"/>
            <w:vAlign w:val="center"/>
          </w:tcPr>
          <w:p w14:paraId="423B8D88">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主要污染物</w:t>
            </w:r>
          </w:p>
        </w:tc>
        <w:tc>
          <w:tcPr>
            <w:tcW w:w="2481" w:type="dxa"/>
            <w:vAlign w:val="center"/>
          </w:tcPr>
          <w:p w14:paraId="1F3833B4">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可行技术</w:t>
            </w:r>
          </w:p>
        </w:tc>
        <w:tc>
          <w:tcPr>
            <w:tcW w:w="1566" w:type="dxa"/>
            <w:vAlign w:val="center"/>
          </w:tcPr>
          <w:p w14:paraId="3CF4EE66">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备注</w:t>
            </w:r>
          </w:p>
        </w:tc>
      </w:tr>
      <w:tr w14:paraId="231A4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1" w:type="dxa"/>
            <w:gridSpan w:val="2"/>
            <w:vAlign w:val="center"/>
          </w:tcPr>
          <w:p w14:paraId="4C156FFC">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含氰废水</w:t>
            </w:r>
          </w:p>
        </w:tc>
        <w:tc>
          <w:tcPr>
            <w:tcW w:w="2068" w:type="dxa"/>
            <w:vAlign w:val="center"/>
          </w:tcPr>
          <w:p w14:paraId="3E65F59A">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总氰化物</w:t>
            </w:r>
          </w:p>
        </w:tc>
        <w:tc>
          <w:tcPr>
            <w:tcW w:w="2481" w:type="dxa"/>
            <w:vAlign w:val="center"/>
          </w:tcPr>
          <w:p w14:paraId="6D115422">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碱性氯化法处理技术臭氧法处理技术电解法处理技术</w:t>
            </w:r>
          </w:p>
        </w:tc>
        <w:tc>
          <w:tcPr>
            <w:tcW w:w="1566" w:type="dxa"/>
            <w:vAlign w:val="center"/>
          </w:tcPr>
          <w:p w14:paraId="7CAD92CB">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处理后废水进入重金属处理系统</w:t>
            </w:r>
          </w:p>
        </w:tc>
      </w:tr>
      <w:tr w14:paraId="77AC8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1" w:type="dxa"/>
            <w:gridSpan w:val="2"/>
            <w:vAlign w:val="center"/>
          </w:tcPr>
          <w:p w14:paraId="504A9DAE">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含六价铬废水</w:t>
            </w:r>
          </w:p>
        </w:tc>
        <w:tc>
          <w:tcPr>
            <w:tcW w:w="2068" w:type="dxa"/>
            <w:vAlign w:val="center"/>
          </w:tcPr>
          <w:p w14:paraId="359C1440">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六价铬</w:t>
            </w:r>
          </w:p>
        </w:tc>
        <w:tc>
          <w:tcPr>
            <w:tcW w:w="2481" w:type="dxa"/>
            <w:vAlign w:val="center"/>
          </w:tcPr>
          <w:p w14:paraId="4F3E94E1">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化学还原法处理技术电解法处理技术</w:t>
            </w:r>
          </w:p>
        </w:tc>
        <w:tc>
          <w:tcPr>
            <w:tcW w:w="1566" w:type="dxa"/>
            <w:vAlign w:val="center"/>
          </w:tcPr>
          <w:p w14:paraId="26A63953">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此系统仅还原六价铬，处理后废水进入重金属处理系统</w:t>
            </w:r>
          </w:p>
        </w:tc>
      </w:tr>
      <w:tr w14:paraId="7EBCE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vMerge w:val="restart"/>
            <w:vAlign w:val="center"/>
          </w:tcPr>
          <w:p w14:paraId="76137B97">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重金属废水</w:t>
            </w:r>
          </w:p>
        </w:tc>
        <w:tc>
          <w:tcPr>
            <w:tcW w:w="1106" w:type="dxa"/>
            <w:vAlign w:val="center"/>
          </w:tcPr>
          <w:p w14:paraId="5B968900">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含镉废水</w:t>
            </w:r>
          </w:p>
        </w:tc>
        <w:tc>
          <w:tcPr>
            <w:tcW w:w="2068" w:type="dxa"/>
            <w:vAlign w:val="center"/>
          </w:tcPr>
          <w:p w14:paraId="6B6C3AF3">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总镉</w:t>
            </w:r>
          </w:p>
        </w:tc>
        <w:tc>
          <w:tcPr>
            <w:tcW w:w="2481" w:type="dxa"/>
            <w:vAlign w:val="center"/>
          </w:tcPr>
          <w:p w14:paraId="2D9706DB">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化学沉淀法处理技术化学法+膜分离法处理技术</w:t>
            </w:r>
          </w:p>
        </w:tc>
        <w:tc>
          <w:tcPr>
            <w:tcW w:w="1566" w:type="dxa"/>
            <w:vAlign w:val="center"/>
          </w:tcPr>
          <w:p w14:paraId="4F33EACA">
            <w:pPr>
              <w:widowControl/>
              <w:spacing w:line="240" w:lineRule="auto"/>
              <w:ind w:firstLine="0" w:firstLineChars="0"/>
              <w:jc w:val="center"/>
              <w:rPr>
                <w:color w:val="000000" w:themeColor="text1"/>
                <w:sz w:val="21"/>
                <w:szCs w:val="21"/>
                <w14:textFill>
                  <w14:solidFill>
                    <w14:schemeClr w14:val="tx1"/>
                  </w14:solidFill>
                </w14:textFill>
              </w:rPr>
            </w:pPr>
          </w:p>
        </w:tc>
      </w:tr>
      <w:tr w14:paraId="798CA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vMerge w:val="continue"/>
            <w:vAlign w:val="center"/>
          </w:tcPr>
          <w:p w14:paraId="37B870D4">
            <w:pPr>
              <w:widowControl/>
              <w:spacing w:line="240" w:lineRule="auto"/>
              <w:ind w:firstLine="0" w:firstLineChars="0"/>
              <w:jc w:val="center"/>
              <w:rPr>
                <w:color w:val="000000" w:themeColor="text1"/>
                <w:sz w:val="21"/>
                <w:szCs w:val="21"/>
                <w14:textFill>
                  <w14:solidFill>
                    <w14:schemeClr w14:val="tx1"/>
                  </w14:solidFill>
                </w14:textFill>
              </w:rPr>
            </w:pPr>
          </w:p>
        </w:tc>
        <w:tc>
          <w:tcPr>
            <w:tcW w:w="1106" w:type="dxa"/>
            <w:vAlign w:val="center"/>
          </w:tcPr>
          <w:p w14:paraId="659CF767">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含镍废水</w:t>
            </w:r>
          </w:p>
        </w:tc>
        <w:tc>
          <w:tcPr>
            <w:tcW w:w="2068" w:type="dxa"/>
            <w:vAlign w:val="center"/>
          </w:tcPr>
          <w:p w14:paraId="5D800B45">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总镍</w:t>
            </w:r>
          </w:p>
        </w:tc>
        <w:tc>
          <w:tcPr>
            <w:tcW w:w="2481" w:type="dxa"/>
            <w:vAlign w:val="center"/>
          </w:tcPr>
          <w:p w14:paraId="2CD6864C">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化学沉淀法处理技术化学法+膜分离法处理技术</w:t>
            </w:r>
          </w:p>
        </w:tc>
        <w:tc>
          <w:tcPr>
            <w:tcW w:w="1566" w:type="dxa"/>
            <w:vAlign w:val="center"/>
          </w:tcPr>
          <w:p w14:paraId="2BE14316">
            <w:pPr>
              <w:widowControl/>
              <w:spacing w:line="240" w:lineRule="auto"/>
              <w:ind w:firstLine="0" w:firstLineChars="0"/>
              <w:jc w:val="center"/>
              <w:rPr>
                <w:color w:val="000000" w:themeColor="text1"/>
                <w:sz w:val="21"/>
                <w:szCs w:val="21"/>
                <w14:textFill>
                  <w14:solidFill>
                    <w14:schemeClr w14:val="tx1"/>
                  </w14:solidFill>
                </w14:textFill>
              </w:rPr>
            </w:pPr>
          </w:p>
        </w:tc>
      </w:tr>
      <w:tr w14:paraId="16E41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vMerge w:val="continue"/>
            <w:vAlign w:val="center"/>
          </w:tcPr>
          <w:p w14:paraId="6183C7C4">
            <w:pPr>
              <w:widowControl/>
              <w:spacing w:line="240" w:lineRule="auto"/>
              <w:ind w:firstLine="0" w:firstLineChars="0"/>
              <w:jc w:val="center"/>
              <w:rPr>
                <w:color w:val="000000" w:themeColor="text1"/>
                <w:sz w:val="21"/>
                <w:szCs w:val="21"/>
                <w14:textFill>
                  <w14:solidFill>
                    <w14:schemeClr w14:val="tx1"/>
                  </w14:solidFill>
                </w14:textFill>
              </w:rPr>
            </w:pPr>
          </w:p>
        </w:tc>
        <w:tc>
          <w:tcPr>
            <w:tcW w:w="1106" w:type="dxa"/>
            <w:vAlign w:val="center"/>
          </w:tcPr>
          <w:p w14:paraId="16F3063A">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含铅废水</w:t>
            </w:r>
          </w:p>
        </w:tc>
        <w:tc>
          <w:tcPr>
            <w:tcW w:w="2068" w:type="dxa"/>
            <w:vAlign w:val="center"/>
          </w:tcPr>
          <w:p w14:paraId="0A55E0E2">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总铅</w:t>
            </w:r>
          </w:p>
        </w:tc>
        <w:tc>
          <w:tcPr>
            <w:tcW w:w="2481" w:type="dxa"/>
            <w:vAlign w:val="center"/>
          </w:tcPr>
          <w:p w14:paraId="20A44529">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化学沉淀法处理技术化学法+膜分离法处理技术</w:t>
            </w:r>
          </w:p>
        </w:tc>
        <w:tc>
          <w:tcPr>
            <w:tcW w:w="1566" w:type="dxa"/>
            <w:vAlign w:val="center"/>
          </w:tcPr>
          <w:p w14:paraId="57BDF95F">
            <w:pPr>
              <w:widowControl/>
              <w:spacing w:line="240" w:lineRule="auto"/>
              <w:ind w:firstLine="0" w:firstLineChars="0"/>
              <w:jc w:val="center"/>
              <w:rPr>
                <w:color w:val="000000" w:themeColor="text1"/>
                <w:sz w:val="21"/>
                <w:szCs w:val="21"/>
                <w14:textFill>
                  <w14:solidFill>
                    <w14:schemeClr w14:val="tx1"/>
                  </w14:solidFill>
                </w14:textFill>
              </w:rPr>
            </w:pPr>
          </w:p>
        </w:tc>
      </w:tr>
      <w:tr w14:paraId="1EFB4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vMerge w:val="continue"/>
            <w:vAlign w:val="center"/>
          </w:tcPr>
          <w:p w14:paraId="0B1FC48A">
            <w:pPr>
              <w:widowControl/>
              <w:spacing w:line="240" w:lineRule="auto"/>
              <w:ind w:firstLine="0" w:firstLineChars="0"/>
              <w:jc w:val="center"/>
              <w:rPr>
                <w:color w:val="000000" w:themeColor="text1"/>
                <w:sz w:val="21"/>
                <w:szCs w:val="21"/>
                <w14:textFill>
                  <w14:solidFill>
                    <w14:schemeClr w14:val="tx1"/>
                  </w14:solidFill>
                </w14:textFill>
              </w:rPr>
            </w:pPr>
          </w:p>
        </w:tc>
        <w:tc>
          <w:tcPr>
            <w:tcW w:w="1106" w:type="dxa"/>
            <w:vAlign w:val="center"/>
          </w:tcPr>
          <w:p w14:paraId="4ADDBB73">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含银废水</w:t>
            </w:r>
          </w:p>
        </w:tc>
        <w:tc>
          <w:tcPr>
            <w:tcW w:w="2068" w:type="dxa"/>
            <w:vAlign w:val="center"/>
          </w:tcPr>
          <w:p w14:paraId="18682217">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总银</w:t>
            </w:r>
          </w:p>
        </w:tc>
        <w:tc>
          <w:tcPr>
            <w:tcW w:w="2481" w:type="dxa"/>
            <w:vAlign w:val="center"/>
          </w:tcPr>
          <w:p w14:paraId="425B513D">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化学沉淀法处理技术化学法+膜分离法处理技术电解法处理技术</w:t>
            </w:r>
          </w:p>
        </w:tc>
        <w:tc>
          <w:tcPr>
            <w:tcW w:w="1566" w:type="dxa"/>
            <w:vAlign w:val="center"/>
          </w:tcPr>
          <w:p w14:paraId="55F8FD9C">
            <w:pPr>
              <w:widowControl/>
              <w:spacing w:line="240" w:lineRule="auto"/>
              <w:ind w:firstLine="0" w:firstLineChars="0"/>
              <w:jc w:val="center"/>
              <w:rPr>
                <w:color w:val="000000" w:themeColor="text1"/>
                <w:sz w:val="21"/>
                <w:szCs w:val="21"/>
                <w14:textFill>
                  <w14:solidFill>
                    <w14:schemeClr w14:val="tx1"/>
                  </w14:solidFill>
                </w14:textFill>
              </w:rPr>
            </w:pPr>
          </w:p>
        </w:tc>
      </w:tr>
      <w:tr w14:paraId="00B13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vMerge w:val="continue"/>
            <w:vAlign w:val="center"/>
          </w:tcPr>
          <w:p w14:paraId="3991B3BE">
            <w:pPr>
              <w:widowControl/>
              <w:spacing w:line="240" w:lineRule="auto"/>
              <w:ind w:firstLine="0" w:firstLineChars="0"/>
              <w:jc w:val="center"/>
              <w:rPr>
                <w:color w:val="000000" w:themeColor="text1"/>
                <w:sz w:val="21"/>
                <w:szCs w:val="21"/>
                <w14:textFill>
                  <w14:solidFill>
                    <w14:schemeClr w14:val="tx1"/>
                  </w14:solidFill>
                </w14:textFill>
              </w:rPr>
            </w:pPr>
          </w:p>
        </w:tc>
        <w:tc>
          <w:tcPr>
            <w:tcW w:w="1106" w:type="dxa"/>
            <w:vAlign w:val="center"/>
          </w:tcPr>
          <w:p w14:paraId="2F41264D">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含铜废水</w:t>
            </w:r>
          </w:p>
        </w:tc>
        <w:tc>
          <w:tcPr>
            <w:tcW w:w="2068" w:type="dxa"/>
            <w:vAlign w:val="center"/>
          </w:tcPr>
          <w:p w14:paraId="0D282ECF">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总铜</w:t>
            </w:r>
          </w:p>
        </w:tc>
        <w:tc>
          <w:tcPr>
            <w:tcW w:w="2481" w:type="dxa"/>
            <w:vAlign w:val="center"/>
          </w:tcPr>
          <w:p w14:paraId="7AB5BDE1">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化学沉淀法处理技术化学法+膜分离法处理技术</w:t>
            </w:r>
          </w:p>
        </w:tc>
        <w:tc>
          <w:tcPr>
            <w:tcW w:w="1566" w:type="dxa"/>
            <w:vAlign w:val="center"/>
          </w:tcPr>
          <w:p w14:paraId="510EBEF4">
            <w:pPr>
              <w:widowControl/>
              <w:spacing w:line="240" w:lineRule="auto"/>
              <w:ind w:firstLine="0" w:firstLineChars="0"/>
              <w:jc w:val="center"/>
              <w:rPr>
                <w:color w:val="000000" w:themeColor="text1"/>
                <w:sz w:val="21"/>
                <w:szCs w:val="21"/>
                <w14:textFill>
                  <w14:solidFill>
                    <w14:schemeClr w14:val="tx1"/>
                  </w14:solidFill>
                </w14:textFill>
              </w:rPr>
            </w:pPr>
          </w:p>
        </w:tc>
      </w:tr>
      <w:tr w14:paraId="2199B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vMerge w:val="continue"/>
            <w:vAlign w:val="center"/>
          </w:tcPr>
          <w:p w14:paraId="02FF2E17">
            <w:pPr>
              <w:widowControl/>
              <w:spacing w:line="240" w:lineRule="auto"/>
              <w:ind w:firstLine="0" w:firstLineChars="0"/>
              <w:jc w:val="center"/>
              <w:rPr>
                <w:color w:val="000000" w:themeColor="text1"/>
                <w:sz w:val="21"/>
                <w:szCs w:val="21"/>
                <w14:textFill>
                  <w14:solidFill>
                    <w14:schemeClr w14:val="tx1"/>
                  </w14:solidFill>
                </w14:textFill>
              </w:rPr>
            </w:pPr>
          </w:p>
        </w:tc>
        <w:tc>
          <w:tcPr>
            <w:tcW w:w="1106" w:type="dxa"/>
            <w:vAlign w:val="center"/>
          </w:tcPr>
          <w:p w14:paraId="11E0A53B">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含锌废水</w:t>
            </w:r>
          </w:p>
        </w:tc>
        <w:tc>
          <w:tcPr>
            <w:tcW w:w="2068" w:type="dxa"/>
            <w:vAlign w:val="center"/>
          </w:tcPr>
          <w:p w14:paraId="6A5947F5">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总锌</w:t>
            </w:r>
          </w:p>
        </w:tc>
        <w:tc>
          <w:tcPr>
            <w:tcW w:w="2481" w:type="dxa"/>
            <w:vAlign w:val="center"/>
          </w:tcPr>
          <w:p w14:paraId="19E8F6E3">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化学沉淀法处理技术化学法+膜分离法处理技术</w:t>
            </w:r>
          </w:p>
        </w:tc>
        <w:tc>
          <w:tcPr>
            <w:tcW w:w="1566" w:type="dxa"/>
            <w:vAlign w:val="center"/>
          </w:tcPr>
          <w:p w14:paraId="1002227B">
            <w:pPr>
              <w:widowControl/>
              <w:spacing w:line="240" w:lineRule="auto"/>
              <w:ind w:firstLine="0" w:firstLineChars="0"/>
              <w:jc w:val="center"/>
              <w:rPr>
                <w:color w:val="000000" w:themeColor="text1"/>
                <w:sz w:val="21"/>
                <w:szCs w:val="21"/>
                <w14:textFill>
                  <w14:solidFill>
                    <w14:schemeClr w14:val="tx1"/>
                  </w14:solidFill>
                </w14:textFill>
              </w:rPr>
            </w:pPr>
          </w:p>
        </w:tc>
      </w:tr>
      <w:tr w14:paraId="48462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5" w:type="dxa"/>
            <w:vMerge w:val="continue"/>
            <w:vAlign w:val="center"/>
          </w:tcPr>
          <w:p w14:paraId="254D3092">
            <w:pPr>
              <w:widowControl/>
              <w:spacing w:line="240" w:lineRule="auto"/>
              <w:ind w:firstLine="0" w:firstLineChars="0"/>
              <w:jc w:val="center"/>
              <w:rPr>
                <w:color w:val="000000" w:themeColor="text1"/>
                <w:sz w:val="21"/>
                <w:szCs w:val="21"/>
                <w14:textFill>
                  <w14:solidFill>
                    <w14:schemeClr w14:val="tx1"/>
                  </w14:solidFill>
                </w14:textFill>
              </w:rPr>
            </w:pPr>
          </w:p>
        </w:tc>
        <w:tc>
          <w:tcPr>
            <w:tcW w:w="1106" w:type="dxa"/>
            <w:vAlign w:val="center"/>
          </w:tcPr>
          <w:p w14:paraId="21A96B1C">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重金属混合废水</w:t>
            </w:r>
          </w:p>
        </w:tc>
        <w:tc>
          <w:tcPr>
            <w:tcW w:w="2068" w:type="dxa"/>
            <w:vAlign w:val="center"/>
          </w:tcPr>
          <w:p w14:paraId="56C8A28B">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总铬、六价铬、总镍、总镉、总银、总铅、总汞、总铜、总锌、总铁、总铝</w:t>
            </w:r>
          </w:p>
        </w:tc>
        <w:tc>
          <w:tcPr>
            <w:tcW w:w="2481" w:type="dxa"/>
            <w:vAlign w:val="center"/>
          </w:tcPr>
          <w:p w14:paraId="19D66F5E">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化学沉淀法处理技术化学法+膜分离法处理技术</w:t>
            </w:r>
          </w:p>
        </w:tc>
        <w:tc>
          <w:tcPr>
            <w:tcW w:w="1566" w:type="dxa"/>
            <w:vAlign w:val="center"/>
          </w:tcPr>
          <w:p w14:paraId="3D5C15A2">
            <w:pPr>
              <w:widowControl/>
              <w:spacing w:line="240" w:lineRule="auto"/>
              <w:ind w:firstLine="0" w:firstLineChars="0"/>
              <w:jc w:val="center"/>
              <w:rPr>
                <w:color w:val="000000" w:themeColor="text1"/>
                <w:sz w:val="21"/>
                <w:szCs w:val="21"/>
                <w14:textFill>
                  <w14:solidFill>
                    <w14:schemeClr w14:val="tx1"/>
                  </w14:solidFill>
                </w14:textFill>
              </w:rPr>
            </w:pPr>
          </w:p>
        </w:tc>
      </w:tr>
      <w:tr w14:paraId="26036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1" w:type="dxa"/>
            <w:gridSpan w:val="2"/>
            <w:vAlign w:val="center"/>
          </w:tcPr>
          <w:p w14:paraId="57877E12">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综合废水（含生活污水、径流污染）</w:t>
            </w:r>
          </w:p>
        </w:tc>
        <w:tc>
          <w:tcPr>
            <w:tcW w:w="2068" w:type="dxa"/>
            <w:vAlign w:val="center"/>
          </w:tcPr>
          <w:p w14:paraId="7E09EBA9">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pH值、悬浮物、化学需氧、氨氮、总氮、总磷、石油类、氟化物、总氰化物、动植物油类</w:t>
            </w:r>
          </w:p>
        </w:tc>
        <w:tc>
          <w:tcPr>
            <w:tcW w:w="2481" w:type="dxa"/>
            <w:vAlign w:val="center"/>
          </w:tcPr>
          <w:p w14:paraId="7F09D6E1">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缺氧/好氧(AO)生物处理技术厌氧一缺氧/好氧(A0)生物处理技术</w:t>
            </w:r>
          </w:p>
          <w:p w14:paraId="017255BD">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好氧膜生物处理技术缺氧(或兼气)膜生物处理技术厌氧一缺氧(或兼氧)膜生物处理技术</w:t>
            </w:r>
          </w:p>
        </w:tc>
        <w:tc>
          <w:tcPr>
            <w:tcW w:w="1566" w:type="dxa"/>
            <w:vAlign w:val="center"/>
          </w:tcPr>
          <w:p w14:paraId="6DB9F3FA">
            <w:pPr>
              <w:widowControl/>
              <w:spacing w:line="240" w:lineRule="auto"/>
              <w:ind w:firstLine="0" w:firstLineChars="0"/>
              <w:jc w:val="center"/>
              <w:rPr>
                <w:color w:val="000000" w:themeColor="text1"/>
                <w:sz w:val="21"/>
                <w:szCs w:val="21"/>
                <w14:textFill>
                  <w14:solidFill>
                    <w14:schemeClr w14:val="tx1"/>
                  </w14:solidFill>
                </w14:textFill>
              </w:rPr>
            </w:pPr>
          </w:p>
        </w:tc>
      </w:tr>
    </w:tbl>
    <w:p w14:paraId="5143129E">
      <w:pPr>
        <w:widowControl/>
        <w:spacing w:line="240" w:lineRule="auto"/>
        <w:ind w:firstLine="420"/>
        <w:jc w:val="left"/>
        <w:rPr>
          <w:color w:val="000000" w:themeColor="text1"/>
          <w:sz w:val="21"/>
          <w:szCs w:val="21"/>
          <w14:textFill>
            <w14:solidFill>
              <w14:schemeClr w14:val="tx1"/>
            </w14:solidFill>
          </w14:textFill>
        </w:rPr>
      </w:pPr>
    </w:p>
    <w:p w14:paraId="18707C8E">
      <w:pPr>
        <w:widowControl/>
        <w:spacing w:line="240" w:lineRule="auto"/>
        <w:ind w:firstLine="0" w:firstLineChars="0"/>
        <w:jc w:val="left"/>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br w:type="page"/>
      </w:r>
    </w:p>
    <w:p w14:paraId="443AF283">
      <w:pPr>
        <w:widowControl/>
        <w:spacing w:line="240" w:lineRule="auto"/>
        <w:ind w:firstLine="422"/>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表</w:t>
      </w:r>
      <w:r>
        <w:rPr>
          <w:b/>
          <w:color w:val="000000" w:themeColor="text1"/>
          <w:sz w:val="21"/>
          <w:szCs w:val="21"/>
          <w14:textFill>
            <w14:solidFill>
              <w14:schemeClr w14:val="tx1"/>
            </w14:solidFill>
          </w14:textFill>
        </w:rPr>
        <w:t xml:space="preserve">A.4 </w:t>
      </w:r>
      <w:r>
        <w:rPr>
          <w:rFonts w:hint="eastAsia"/>
          <w:b/>
          <w:color w:val="000000" w:themeColor="text1"/>
          <w:sz w:val="21"/>
          <w:szCs w:val="21"/>
          <w14:textFill>
            <w14:solidFill>
              <w14:schemeClr w14:val="tx1"/>
            </w14:solidFill>
          </w14:textFill>
        </w:rPr>
        <w:t>纺织印染工业废水污染防治可行技术参照表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697"/>
        <w:gridCol w:w="1517"/>
        <w:gridCol w:w="2615"/>
        <w:gridCol w:w="2391"/>
      </w:tblGrid>
      <w:tr w14:paraId="658A9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076" w:type="dxa"/>
            <w:vAlign w:val="center"/>
          </w:tcPr>
          <w:p w14:paraId="5BC59A85">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类型</w:t>
            </w:r>
          </w:p>
        </w:tc>
        <w:tc>
          <w:tcPr>
            <w:tcW w:w="2214" w:type="dxa"/>
            <w:gridSpan w:val="2"/>
            <w:vAlign w:val="center"/>
          </w:tcPr>
          <w:p w14:paraId="1A1863EB">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废水类型</w:t>
            </w:r>
          </w:p>
        </w:tc>
        <w:tc>
          <w:tcPr>
            <w:tcW w:w="2615" w:type="dxa"/>
            <w:vAlign w:val="center"/>
          </w:tcPr>
          <w:p w14:paraId="5F8246A2">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可行技术</w:t>
            </w:r>
          </w:p>
        </w:tc>
        <w:tc>
          <w:tcPr>
            <w:tcW w:w="2391" w:type="dxa"/>
            <w:vAlign w:val="center"/>
          </w:tcPr>
          <w:p w14:paraId="7AB0200F">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备注</w:t>
            </w:r>
          </w:p>
        </w:tc>
      </w:tr>
      <w:tr w14:paraId="593F3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vMerge w:val="restart"/>
            <w:vAlign w:val="center"/>
          </w:tcPr>
          <w:p w14:paraId="329419D5">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含铬废水</w:t>
            </w:r>
          </w:p>
        </w:tc>
        <w:tc>
          <w:tcPr>
            <w:tcW w:w="2214" w:type="dxa"/>
            <w:gridSpan w:val="2"/>
            <w:vAlign w:val="center"/>
          </w:tcPr>
          <w:p w14:paraId="651C7B4B">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感光制网废水</w:t>
            </w:r>
          </w:p>
        </w:tc>
        <w:tc>
          <w:tcPr>
            <w:tcW w:w="2615" w:type="dxa"/>
            <w:vMerge w:val="restart"/>
            <w:vAlign w:val="center"/>
          </w:tcPr>
          <w:p w14:paraId="3BD19E56">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化学还原+絮凝沉淀法、电解还原法、离子交换法</w:t>
            </w:r>
          </w:p>
        </w:tc>
        <w:tc>
          <w:tcPr>
            <w:tcW w:w="2391" w:type="dxa"/>
            <w:vMerge w:val="restart"/>
            <w:vAlign w:val="center"/>
          </w:tcPr>
          <w:p w14:paraId="6779065E">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含铬废水必须经过预处理满足限值要求后可排出车间或生产设施排放口。</w:t>
            </w:r>
          </w:p>
        </w:tc>
      </w:tr>
      <w:tr w14:paraId="7871C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vMerge w:val="continue"/>
            <w:vAlign w:val="center"/>
          </w:tcPr>
          <w:p w14:paraId="0252D954">
            <w:pPr>
              <w:widowControl/>
              <w:spacing w:line="240" w:lineRule="auto"/>
              <w:ind w:firstLine="0" w:firstLineChars="0"/>
              <w:jc w:val="center"/>
              <w:rPr>
                <w:color w:val="000000" w:themeColor="text1"/>
                <w:sz w:val="21"/>
                <w:szCs w:val="21"/>
                <w14:textFill>
                  <w14:solidFill>
                    <w14:schemeClr w14:val="tx1"/>
                  </w14:solidFill>
                </w14:textFill>
              </w:rPr>
            </w:pPr>
          </w:p>
        </w:tc>
        <w:tc>
          <w:tcPr>
            <w:tcW w:w="2214" w:type="dxa"/>
            <w:gridSpan w:val="2"/>
            <w:vAlign w:val="center"/>
          </w:tcPr>
          <w:p w14:paraId="23ECDFBD">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含铬印染废水</w:t>
            </w:r>
          </w:p>
        </w:tc>
        <w:tc>
          <w:tcPr>
            <w:tcW w:w="2615" w:type="dxa"/>
            <w:vMerge w:val="continue"/>
            <w:vAlign w:val="center"/>
          </w:tcPr>
          <w:p w14:paraId="7203E040">
            <w:pPr>
              <w:widowControl/>
              <w:spacing w:line="240" w:lineRule="auto"/>
              <w:ind w:firstLine="0" w:firstLineChars="0"/>
              <w:jc w:val="center"/>
              <w:rPr>
                <w:color w:val="000000" w:themeColor="text1"/>
                <w:sz w:val="21"/>
                <w:szCs w:val="21"/>
                <w14:textFill>
                  <w14:solidFill>
                    <w14:schemeClr w14:val="tx1"/>
                  </w14:solidFill>
                </w14:textFill>
              </w:rPr>
            </w:pPr>
          </w:p>
        </w:tc>
        <w:tc>
          <w:tcPr>
            <w:tcW w:w="2391" w:type="dxa"/>
            <w:vMerge w:val="continue"/>
            <w:vAlign w:val="center"/>
          </w:tcPr>
          <w:p w14:paraId="0B69650F">
            <w:pPr>
              <w:widowControl/>
              <w:spacing w:line="240" w:lineRule="auto"/>
              <w:ind w:firstLine="0" w:firstLineChars="0"/>
              <w:rPr>
                <w:color w:val="000000" w:themeColor="text1"/>
                <w:sz w:val="21"/>
                <w:szCs w:val="21"/>
                <w14:textFill>
                  <w14:solidFill>
                    <w14:schemeClr w14:val="tx1"/>
                  </w14:solidFill>
                </w14:textFill>
              </w:rPr>
            </w:pPr>
          </w:p>
        </w:tc>
      </w:tr>
      <w:tr w14:paraId="54E0D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vMerge w:val="restart"/>
            <w:vAlign w:val="center"/>
          </w:tcPr>
          <w:p w14:paraId="2A7743C9">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可资源回收生产废水</w:t>
            </w:r>
          </w:p>
        </w:tc>
        <w:tc>
          <w:tcPr>
            <w:tcW w:w="2214" w:type="dxa"/>
            <w:gridSpan w:val="2"/>
            <w:vAlign w:val="center"/>
          </w:tcPr>
          <w:p w14:paraId="3622DBA6">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洗毛废水</w:t>
            </w:r>
          </w:p>
        </w:tc>
        <w:tc>
          <w:tcPr>
            <w:tcW w:w="2615" w:type="dxa"/>
            <w:vAlign w:val="center"/>
          </w:tcPr>
          <w:p w14:paraId="6D7E59FF">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离心分离、膜分离、混凝气浮</w:t>
            </w:r>
          </w:p>
        </w:tc>
        <w:tc>
          <w:tcPr>
            <w:tcW w:w="2391" w:type="dxa"/>
            <w:vMerge w:val="restart"/>
            <w:vAlign w:val="center"/>
          </w:tcPr>
          <w:p w14:paraId="6B84C1C7">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可资源回收生产废水可直接排入全厂综合废水处理设施。</w:t>
            </w:r>
          </w:p>
        </w:tc>
      </w:tr>
      <w:tr w14:paraId="38DDC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vMerge w:val="continue"/>
            <w:vAlign w:val="center"/>
          </w:tcPr>
          <w:p w14:paraId="0A14118E">
            <w:pPr>
              <w:widowControl/>
              <w:spacing w:line="240" w:lineRule="auto"/>
              <w:ind w:firstLine="0" w:firstLineChars="0"/>
              <w:jc w:val="center"/>
              <w:rPr>
                <w:color w:val="000000" w:themeColor="text1"/>
                <w:sz w:val="21"/>
                <w:szCs w:val="21"/>
                <w14:textFill>
                  <w14:solidFill>
                    <w14:schemeClr w14:val="tx1"/>
                  </w14:solidFill>
                </w14:textFill>
              </w:rPr>
            </w:pPr>
          </w:p>
        </w:tc>
        <w:tc>
          <w:tcPr>
            <w:tcW w:w="2214" w:type="dxa"/>
            <w:gridSpan w:val="2"/>
            <w:vAlign w:val="center"/>
          </w:tcPr>
          <w:p w14:paraId="0FEC600C">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缫丝废水</w:t>
            </w:r>
          </w:p>
        </w:tc>
        <w:tc>
          <w:tcPr>
            <w:tcW w:w="2615" w:type="dxa"/>
            <w:vAlign w:val="center"/>
          </w:tcPr>
          <w:p w14:paraId="7CD1D282">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酸析法、冷冻法、膜分离</w:t>
            </w:r>
          </w:p>
        </w:tc>
        <w:tc>
          <w:tcPr>
            <w:tcW w:w="2391" w:type="dxa"/>
            <w:vMerge w:val="continue"/>
            <w:vAlign w:val="center"/>
          </w:tcPr>
          <w:p w14:paraId="08B80965">
            <w:pPr>
              <w:widowControl/>
              <w:spacing w:line="240" w:lineRule="auto"/>
              <w:ind w:firstLine="0" w:firstLineChars="0"/>
              <w:rPr>
                <w:color w:val="000000" w:themeColor="text1"/>
                <w:sz w:val="21"/>
                <w:szCs w:val="21"/>
                <w14:textFill>
                  <w14:solidFill>
                    <w14:schemeClr w14:val="tx1"/>
                  </w14:solidFill>
                </w14:textFill>
              </w:rPr>
            </w:pPr>
          </w:p>
        </w:tc>
      </w:tr>
      <w:tr w14:paraId="095A8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vMerge w:val="continue"/>
            <w:vAlign w:val="center"/>
          </w:tcPr>
          <w:p w14:paraId="78528988">
            <w:pPr>
              <w:widowControl/>
              <w:spacing w:line="240" w:lineRule="auto"/>
              <w:ind w:firstLine="0" w:firstLineChars="0"/>
              <w:jc w:val="center"/>
              <w:rPr>
                <w:color w:val="000000" w:themeColor="text1"/>
                <w:sz w:val="21"/>
                <w:szCs w:val="21"/>
                <w14:textFill>
                  <w14:solidFill>
                    <w14:schemeClr w14:val="tx1"/>
                  </w14:solidFill>
                </w14:textFill>
              </w:rPr>
            </w:pPr>
          </w:p>
        </w:tc>
        <w:tc>
          <w:tcPr>
            <w:tcW w:w="2214" w:type="dxa"/>
            <w:gridSpan w:val="2"/>
            <w:vAlign w:val="center"/>
          </w:tcPr>
          <w:p w14:paraId="3CEB8E4F">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退浆废水</w:t>
            </w:r>
          </w:p>
        </w:tc>
        <w:tc>
          <w:tcPr>
            <w:tcW w:w="2615" w:type="dxa"/>
            <w:vAlign w:val="center"/>
          </w:tcPr>
          <w:p w14:paraId="4C5A5616">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膜分离、絮凝沉淀</w:t>
            </w:r>
          </w:p>
        </w:tc>
        <w:tc>
          <w:tcPr>
            <w:tcW w:w="2391" w:type="dxa"/>
            <w:vMerge w:val="continue"/>
            <w:vAlign w:val="center"/>
          </w:tcPr>
          <w:p w14:paraId="64CB4036">
            <w:pPr>
              <w:widowControl/>
              <w:spacing w:line="240" w:lineRule="auto"/>
              <w:ind w:firstLine="0" w:firstLineChars="0"/>
              <w:rPr>
                <w:color w:val="000000" w:themeColor="text1"/>
                <w:sz w:val="21"/>
                <w:szCs w:val="21"/>
                <w14:textFill>
                  <w14:solidFill>
                    <w14:schemeClr w14:val="tx1"/>
                  </w14:solidFill>
                </w14:textFill>
              </w:rPr>
            </w:pPr>
          </w:p>
        </w:tc>
      </w:tr>
      <w:tr w14:paraId="16955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vMerge w:val="continue"/>
            <w:vAlign w:val="center"/>
          </w:tcPr>
          <w:p w14:paraId="37088E4A">
            <w:pPr>
              <w:widowControl/>
              <w:spacing w:line="240" w:lineRule="auto"/>
              <w:ind w:firstLine="0" w:firstLineChars="0"/>
              <w:jc w:val="center"/>
              <w:rPr>
                <w:color w:val="000000" w:themeColor="text1"/>
                <w:sz w:val="21"/>
                <w:szCs w:val="21"/>
                <w14:textFill>
                  <w14:solidFill>
                    <w14:schemeClr w14:val="tx1"/>
                  </w14:solidFill>
                </w14:textFill>
              </w:rPr>
            </w:pPr>
          </w:p>
        </w:tc>
        <w:tc>
          <w:tcPr>
            <w:tcW w:w="2214" w:type="dxa"/>
            <w:gridSpan w:val="2"/>
            <w:vAlign w:val="center"/>
          </w:tcPr>
          <w:p w14:paraId="7E1C514C">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碱减量废水</w:t>
            </w:r>
          </w:p>
        </w:tc>
        <w:tc>
          <w:tcPr>
            <w:tcW w:w="2615" w:type="dxa"/>
            <w:vAlign w:val="center"/>
          </w:tcPr>
          <w:p w14:paraId="0F058A10">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酸析法，盐析法</w:t>
            </w:r>
          </w:p>
        </w:tc>
        <w:tc>
          <w:tcPr>
            <w:tcW w:w="2391" w:type="dxa"/>
            <w:vMerge w:val="continue"/>
            <w:vAlign w:val="center"/>
          </w:tcPr>
          <w:p w14:paraId="0B99E845">
            <w:pPr>
              <w:widowControl/>
              <w:spacing w:line="240" w:lineRule="auto"/>
              <w:ind w:firstLine="0" w:firstLineChars="0"/>
              <w:rPr>
                <w:color w:val="000000" w:themeColor="text1"/>
                <w:sz w:val="21"/>
                <w:szCs w:val="21"/>
                <w14:textFill>
                  <w14:solidFill>
                    <w14:schemeClr w14:val="tx1"/>
                  </w14:solidFill>
                </w14:textFill>
              </w:rPr>
            </w:pPr>
          </w:p>
        </w:tc>
      </w:tr>
      <w:tr w14:paraId="17853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vMerge w:val="restart"/>
            <w:vAlign w:val="center"/>
          </w:tcPr>
          <w:p w14:paraId="3A03F9FF">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全厂综合废水</w:t>
            </w:r>
          </w:p>
        </w:tc>
        <w:tc>
          <w:tcPr>
            <w:tcW w:w="697" w:type="dxa"/>
            <w:vMerge w:val="restart"/>
            <w:vAlign w:val="center"/>
          </w:tcPr>
          <w:p w14:paraId="5E76F058">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工艺废水</w:t>
            </w:r>
          </w:p>
        </w:tc>
        <w:tc>
          <w:tcPr>
            <w:tcW w:w="1517" w:type="dxa"/>
            <w:vAlign w:val="center"/>
          </w:tcPr>
          <w:p w14:paraId="377B36A5">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喷水织机废水</w:t>
            </w:r>
          </w:p>
        </w:tc>
        <w:tc>
          <w:tcPr>
            <w:tcW w:w="2615" w:type="dxa"/>
            <w:vMerge w:val="restart"/>
            <w:vAlign w:val="center"/>
          </w:tcPr>
          <w:p w14:paraId="4C0C50BA">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一级处理:格栅、捞毛机、中和、混凝、气浮、沉淀:</w:t>
            </w:r>
          </w:p>
          <w:p w14:paraId="6C50F05F">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级处理:水解酸化、厌气生物法、好气生物法深度处理:曝气生物滤池、臭气、芬顿气化、滤池，离子交换、树脂过滤、膜分离、人工湿地、活性炭吸附、蒸发结晶。</w:t>
            </w:r>
          </w:p>
        </w:tc>
        <w:tc>
          <w:tcPr>
            <w:tcW w:w="2391" w:type="dxa"/>
            <w:vMerge w:val="restart"/>
            <w:vAlign w:val="center"/>
          </w:tcPr>
          <w:p w14:paraId="6F0980D2">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喷水织机废水经一级+二级处理可达到直接排放标准，其余类型的废水执行间接排放标准的需经一级+二级处理:执行直接排放标准的需经一级+二级+深度处理。每级处理工艺中技术至少选择一种。</w:t>
            </w:r>
          </w:p>
        </w:tc>
      </w:tr>
      <w:tr w14:paraId="24527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vMerge w:val="continue"/>
            <w:vAlign w:val="center"/>
          </w:tcPr>
          <w:p w14:paraId="6F88B558">
            <w:pPr>
              <w:widowControl/>
              <w:spacing w:line="240" w:lineRule="auto"/>
              <w:ind w:firstLine="0" w:firstLineChars="0"/>
              <w:jc w:val="center"/>
              <w:rPr>
                <w:color w:val="000000" w:themeColor="text1"/>
                <w:sz w:val="21"/>
                <w:szCs w:val="21"/>
                <w14:textFill>
                  <w14:solidFill>
                    <w14:schemeClr w14:val="tx1"/>
                  </w14:solidFill>
                </w14:textFill>
              </w:rPr>
            </w:pPr>
          </w:p>
        </w:tc>
        <w:tc>
          <w:tcPr>
            <w:tcW w:w="697" w:type="dxa"/>
            <w:vMerge w:val="continue"/>
            <w:vAlign w:val="center"/>
          </w:tcPr>
          <w:p w14:paraId="0C414674">
            <w:pPr>
              <w:widowControl/>
              <w:spacing w:line="240" w:lineRule="auto"/>
              <w:ind w:firstLine="0" w:firstLineChars="0"/>
              <w:jc w:val="center"/>
              <w:rPr>
                <w:color w:val="000000" w:themeColor="text1"/>
                <w:sz w:val="21"/>
                <w:szCs w:val="21"/>
                <w14:textFill>
                  <w14:solidFill>
                    <w14:schemeClr w14:val="tx1"/>
                  </w14:solidFill>
                </w14:textFill>
              </w:rPr>
            </w:pPr>
          </w:p>
        </w:tc>
        <w:tc>
          <w:tcPr>
            <w:tcW w:w="1517" w:type="dxa"/>
            <w:vAlign w:val="center"/>
          </w:tcPr>
          <w:p w14:paraId="53547185">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成衣水洗废水</w:t>
            </w:r>
          </w:p>
        </w:tc>
        <w:tc>
          <w:tcPr>
            <w:tcW w:w="2615" w:type="dxa"/>
            <w:vMerge w:val="continue"/>
            <w:vAlign w:val="center"/>
          </w:tcPr>
          <w:p w14:paraId="4AB8E13D">
            <w:pPr>
              <w:widowControl/>
              <w:spacing w:line="240" w:lineRule="auto"/>
              <w:ind w:firstLine="0" w:firstLineChars="0"/>
              <w:jc w:val="center"/>
              <w:rPr>
                <w:color w:val="000000" w:themeColor="text1"/>
                <w:sz w:val="21"/>
                <w:szCs w:val="21"/>
                <w14:textFill>
                  <w14:solidFill>
                    <w14:schemeClr w14:val="tx1"/>
                  </w14:solidFill>
                </w14:textFill>
              </w:rPr>
            </w:pPr>
          </w:p>
        </w:tc>
        <w:tc>
          <w:tcPr>
            <w:tcW w:w="2391" w:type="dxa"/>
            <w:vMerge w:val="continue"/>
            <w:vAlign w:val="center"/>
          </w:tcPr>
          <w:p w14:paraId="07310E7C">
            <w:pPr>
              <w:widowControl/>
              <w:spacing w:line="240" w:lineRule="auto"/>
              <w:ind w:firstLine="0" w:firstLineChars="0"/>
              <w:jc w:val="center"/>
              <w:rPr>
                <w:color w:val="000000" w:themeColor="text1"/>
                <w:sz w:val="21"/>
                <w:szCs w:val="21"/>
                <w14:textFill>
                  <w14:solidFill>
                    <w14:schemeClr w14:val="tx1"/>
                  </w14:solidFill>
                </w14:textFill>
              </w:rPr>
            </w:pPr>
          </w:p>
        </w:tc>
      </w:tr>
      <w:tr w14:paraId="04B2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vMerge w:val="continue"/>
            <w:vAlign w:val="center"/>
          </w:tcPr>
          <w:p w14:paraId="3366D69F">
            <w:pPr>
              <w:widowControl/>
              <w:spacing w:line="240" w:lineRule="auto"/>
              <w:ind w:firstLine="0" w:firstLineChars="0"/>
              <w:jc w:val="center"/>
              <w:rPr>
                <w:color w:val="000000" w:themeColor="text1"/>
                <w:sz w:val="21"/>
                <w:szCs w:val="21"/>
                <w14:textFill>
                  <w14:solidFill>
                    <w14:schemeClr w14:val="tx1"/>
                  </w14:solidFill>
                </w14:textFill>
              </w:rPr>
            </w:pPr>
          </w:p>
        </w:tc>
        <w:tc>
          <w:tcPr>
            <w:tcW w:w="697" w:type="dxa"/>
            <w:vMerge w:val="continue"/>
            <w:vAlign w:val="center"/>
          </w:tcPr>
          <w:p w14:paraId="710B35D3">
            <w:pPr>
              <w:widowControl/>
              <w:spacing w:line="240" w:lineRule="auto"/>
              <w:ind w:firstLine="0" w:firstLineChars="0"/>
              <w:jc w:val="center"/>
              <w:rPr>
                <w:color w:val="000000" w:themeColor="text1"/>
                <w:sz w:val="21"/>
                <w:szCs w:val="21"/>
                <w14:textFill>
                  <w14:solidFill>
                    <w14:schemeClr w14:val="tx1"/>
                  </w14:solidFill>
                </w14:textFill>
              </w:rPr>
            </w:pPr>
          </w:p>
        </w:tc>
        <w:tc>
          <w:tcPr>
            <w:tcW w:w="1517" w:type="dxa"/>
            <w:vAlign w:val="center"/>
          </w:tcPr>
          <w:p w14:paraId="44839A94">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麻脱胶废水</w:t>
            </w:r>
          </w:p>
        </w:tc>
        <w:tc>
          <w:tcPr>
            <w:tcW w:w="2615" w:type="dxa"/>
            <w:vMerge w:val="continue"/>
            <w:vAlign w:val="center"/>
          </w:tcPr>
          <w:p w14:paraId="556EEB08">
            <w:pPr>
              <w:widowControl/>
              <w:spacing w:line="240" w:lineRule="auto"/>
              <w:ind w:firstLine="0" w:firstLineChars="0"/>
              <w:jc w:val="center"/>
              <w:rPr>
                <w:color w:val="000000" w:themeColor="text1"/>
                <w:sz w:val="21"/>
                <w:szCs w:val="21"/>
                <w14:textFill>
                  <w14:solidFill>
                    <w14:schemeClr w14:val="tx1"/>
                  </w14:solidFill>
                </w14:textFill>
              </w:rPr>
            </w:pPr>
          </w:p>
        </w:tc>
        <w:tc>
          <w:tcPr>
            <w:tcW w:w="2391" w:type="dxa"/>
            <w:vMerge w:val="continue"/>
            <w:vAlign w:val="center"/>
          </w:tcPr>
          <w:p w14:paraId="18051C53">
            <w:pPr>
              <w:widowControl/>
              <w:spacing w:line="240" w:lineRule="auto"/>
              <w:ind w:firstLine="0" w:firstLineChars="0"/>
              <w:jc w:val="center"/>
              <w:rPr>
                <w:color w:val="000000" w:themeColor="text1"/>
                <w:sz w:val="21"/>
                <w:szCs w:val="21"/>
                <w14:textFill>
                  <w14:solidFill>
                    <w14:schemeClr w14:val="tx1"/>
                  </w14:solidFill>
                </w14:textFill>
              </w:rPr>
            </w:pPr>
          </w:p>
        </w:tc>
      </w:tr>
      <w:tr w14:paraId="5C1D1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vMerge w:val="continue"/>
            <w:vAlign w:val="center"/>
          </w:tcPr>
          <w:p w14:paraId="4D54E4F9">
            <w:pPr>
              <w:widowControl/>
              <w:spacing w:line="240" w:lineRule="auto"/>
              <w:ind w:firstLine="0" w:firstLineChars="0"/>
              <w:jc w:val="center"/>
              <w:rPr>
                <w:color w:val="000000" w:themeColor="text1"/>
                <w:sz w:val="21"/>
                <w:szCs w:val="21"/>
                <w14:textFill>
                  <w14:solidFill>
                    <w14:schemeClr w14:val="tx1"/>
                  </w14:solidFill>
                </w14:textFill>
              </w:rPr>
            </w:pPr>
          </w:p>
        </w:tc>
        <w:tc>
          <w:tcPr>
            <w:tcW w:w="697" w:type="dxa"/>
            <w:vMerge w:val="continue"/>
            <w:vAlign w:val="center"/>
          </w:tcPr>
          <w:p w14:paraId="4B7C6E48">
            <w:pPr>
              <w:widowControl/>
              <w:spacing w:line="240" w:lineRule="auto"/>
              <w:ind w:firstLine="0" w:firstLineChars="0"/>
              <w:jc w:val="center"/>
              <w:rPr>
                <w:color w:val="000000" w:themeColor="text1"/>
                <w:sz w:val="21"/>
                <w:szCs w:val="21"/>
                <w14:textFill>
                  <w14:solidFill>
                    <w14:schemeClr w14:val="tx1"/>
                  </w14:solidFill>
                </w14:textFill>
              </w:rPr>
            </w:pPr>
          </w:p>
        </w:tc>
        <w:tc>
          <w:tcPr>
            <w:tcW w:w="1517" w:type="dxa"/>
            <w:vAlign w:val="center"/>
          </w:tcPr>
          <w:p w14:paraId="21055FBD">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印染废水</w:t>
            </w:r>
          </w:p>
        </w:tc>
        <w:tc>
          <w:tcPr>
            <w:tcW w:w="2615" w:type="dxa"/>
            <w:vMerge w:val="continue"/>
            <w:vAlign w:val="center"/>
          </w:tcPr>
          <w:p w14:paraId="0C6F8699">
            <w:pPr>
              <w:widowControl/>
              <w:spacing w:line="240" w:lineRule="auto"/>
              <w:ind w:firstLine="0" w:firstLineChars="0"/>
              <w:jc w:val="center"/>
              <w:rPr>
                <w:color w:val="000000" w:themeColor="text1"/>
                <w:sz w:val="21"/>
                <w:szCs w:val="21"/>
                <w14:textFill>
                  <w14:solidFill>
                    <w14:schemeClr w14:val="tx1"/>
                  </w14:solidFill>
                </w14:textFill>
              </w:rPr>
            </w:pPr>
          </w:p>
        </w:tc>
        <w:tc>
          <w:tcPr>
            <w:tcW w:w="2391" w:type="dxa"/>
            <w:vMerge w:val="continue"/>
            <w:vAlign w:val="center"/>
          </w:tcPr>
          <w:p w14:paraId="4DA24361">
            <w:pPr>
              <w:widowControl/>
              <w:spacing w:line="240" w:lineRule="auto"/>
              <w:ind w:firstLine="0" w:firstLineChars="0"/>
              <w:jc w:val="center"/>
              <w:rPr>
                <w:color w:val="000000" w:themeColor="text1"/>
                <w:sz w:val="21"/>
                <w:szCs w:val="21"/>
                <w14:textFill>
                  <w14:solidFill>
                    <w14:schemeClr w14:val="tx1"/>
                  </w14:solidFill>
                </w14:textFill>
              </w:rPr>
            </w:pPr>
          </w:p>
        </w:tc>
      </w:tr>
      <w:tr w14:paraId="13625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vMerge w:val="continue"/>
            <w:vAlign w:val="center"/>
          </w:tcPr>
          <w:p w14:paraId="5657C366">
            <w:pPr>
              <w:widowControl/>
              <w:spacing w:line="240" w:lineRule="auto"/>
              <w:ind w:firstLine="0" w:firstLineChars="0"/>
              <w:jc w:val="center"/>
              <w:rPr>
                <w:color w:val="000000" w:themeColor="text1"/>
                <w:sz w:val="21"/>
                <w:szCs w:val="21"/>
                <w14:textFill>
                  <w14:solidFill>
                    <w14:schemeClr w14:val="tx1"/>
                  </w14:solidFill>
                </w14:textFill>
              </w:rPr>
            </w:pPr>
          </w:p>
        </w:tc>
        <w:tc>
          <w:tcPr>
            <w:tcW w:w="2214" w:type="dxa"/>
            <w:gridSpan w:val="2"/>
            <w:vAlign w:val="center"/>
          </w:tcPr>
          <w:p w14:paraId="6200FB32">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径流污染</w:t>
            </w:r>
          </w:p>
        </w:tc>
        <w:tc>
          <w:tcPr>
            <w:tcW w:w="2615" w:type="dxa"/>
            <w:vMerge w:val="continue"/>
            <w:vAlign w:val="center"/>
          </w:tcPr>
          <w:p w14:paraId="3286EF07">
            <w:pPr>
              <w:widowControl/>
              <w:spacing w:line="240" w:lineRule="auto"/>
              <w:ind w:firstLine="0" w:firstLineChars="0"/>
              <w:jc w:val="center"/>
              <w:rPr>
                <w:color w:val="000000" w:themeColor="text1"/>
                <w:sz w:val="21"/>
                <w:szCs w:val="21"/>
                <w14:textFill>
                  <w14:solidFill>
                    <w14:schemeClr w14:val="tx1"/>
                  </w14:solidFill>
                </w14:textFill>
              </w:rPr>
            </w:pPr>
          </w:p>
        </w:tc>
        <w:tc>
          <w:tcPr>
            <w:tcW w:w="2391" w:type="dxa"/>
            <w:vMerge w:val="continue"/>
            <w:vAlign w:val="center"/>
          </w:tcPr>
          <w:p w14:paraId="48B2DFBD">
            <w:pPr>
              <w:widowControl/>
              <w:spacing w:line="240" w:lineRule="auto"/>
              <w:ind w:firstLine="0" w:firstLineChars="0"/>
              <w:jc w:val="center"/>
              <w:rPr>
                <w:color w:val="000000" w:themeColor="text1"/>
                <w:sz w:val="21"/>
                <w:szCs w:val="21"/>
                <w14:textFill>
                  <w14:solidFill>
                    <w14:schemeClr w14:val="tx1"/>
                  </w14:solidFill>
                </w14:textFill>
              </w:rPr>
            </w:pPr>
          </w:p>
        </w:tc>
      </w:tr>
      <w:tr w14:paraId="6E82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vMerge w:val="continue"/>
            <w:vAlign w:val="center"/>
          </w:tcPr>
          <w:p w14:paraId="38D1FFED">
            <w:pPr>
              <w:widowControl/>
              <w:spacing w:line="240" w:lineRule="auto"/>
              <w:ind w:firstLine="0" w:firstLineChars="0"/>
              <w:jc w:val="center"/>
              <w:rPr>
                <w:color w:val="000000" w:themeColor="text1"/>
                <w:sz w:val="21"/>
                <w:szCs w:val="21"/>
                <w14:textFill>
                  <w14:solidFill>
                    <w14:schemeClr w14:val="tx1"/>
                  </w14:solidFill>
                </w14:textFill>
              </w:rPr>
            </w:pPr>
          </w:p>
        </w:tc>
        <w:tc>
          <w:tcPr>
            <w:tcW w:w="2214" w:type="dxa"/>
            <w:gridSpan w:val="2"/>
            <w:vAlign w:val="center"/>
          </w:tcPr>
          <w:p w14:paraId="1A04D63C">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生活污水</w:t>
            </w:r>
          </w:p>
        </w:tc>
        <w:tc>
          <w:tcPr>
            <w:tcW w:w="2615" w:type="dxa"/>
            <w:vMerge w:val="continue"/>
            <w:vAlign w:val="center"/>
          </w:tcPr>
          <w:p w14:paraId="2B78432D">
            <w:pPr>
              <w:widowControl/>
              <w:spacing w:line="240" w:lineRule="auto"/>
              <w:ind w:firstLine="0" w:firstLineChars="0"/>
              <w:jc w:val="center"/>
              <w:rPr>
                <w:color w:val="000000" w:themeColor="text1"/>
                <w:sz w:val="21"/>
                <w:szCs w:val="21"/>
                <w14:textFill>
                  <w14:solidFill>
                    <w14:schemeClr w14:val="tx1"/>
                  </w14:solidFill>
                </w14:textFill>
              </w:rPr>
            </w:pPr>
          </w:p>
        </w:tc>
        <w:tc>
          <w:tcPr>
            <w:tcW w:w="2391" w:type="dxa"/>
            <w:vMerge w:val="continue"/>
            <w:vAlign w:val="center"/>
          </w:tcPr>
          <w:p w14:paraId="0117A39D">
            <w:pPr>
              <w:widowControl/>
              <w:spacing w:line="240" w:lineRule="auto"/>
              <w:ind w:firstLine="0" w:firstLineChars="0"/>
              <w:jc w:val="center"/>
              <w:rPr>
                <w:color w:val="000000" w:themeColor="text1"/>
                <w:sz w:val="21"/>
                <w:szCs w:val="21"/>
                <w14:textFill>
                  <w14:solidFill>
                    <w14:schemeClr w14:val="tx1"/>
                  </w14:solidFill>
                </w14:textFill>
              </w:rPr>
            </w:pPr>
          </w:p>
        </w:tc>
      </w:tr>
      <w:tr w14:paraId="48D95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6" w:type="dxa"/>
            <w:vMerge w:val="continue"/>
            <w:vAlign w:val="center"/>
          </w:tcPr>
          <w:p w14:paraId="209A531B">
            <w:pPr>
              <w:widowControl/>
              <w:spacing w:line="240" w:lineRule="auto"/>
              <w:ind w:firstLine="0" w:firstLineChars="0"/>
              <w:jc w:val="center"/>
              <w:rPr>
                <w:color w:val="000000" w:themeColor="text1"/>
                <w:sz w:val="21"/>
                <w:szCs w:val="21"/>
                <w14:textFill>
                  <w14:solidFill>
                    <w14:schemeClr w14:val="tx1"/>
                  </w14:solidFill>
                </w14:textFill>
              </w:rPr>
            </w:pPr>
          </w:p>
        </w:tc>
        <w:tc>
          <w:tcPr>
            <w:tcW w:w="2214" w:type="dxa"/>
            <w:gridSpan w:val="2"/>
            <w:vAlign w:val="center"/>
          </w:tcPr>
          <w:p w14:paraId="218043C9">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循环冷却水排污水</w:t>
            </w:r>
          </w:p>
        </w:tc>
        <w:tc>
          <w:tcPr>
            <w:tcW w:w="2615" w:type="dxa"/>
            <w:vMerge w:val="continue"/>
            <w:vAlign w:val="center"/>
          </w:tcPr>
          <w:p w14:paraId="18E553F4">
            <w:pPr>
              <w:widowControl/>
              <w:spacing w:line="240" w:lineRule="auto"/>
              <w:ind w:firstLine="0" w:firstLineChars="0"/>
              <w:jc w:val="center"/>
              <w:rPr>
                <w:color w:val="000000" w:themeColor="text1"/>
                <w:sz w:val="21"/>
                <w:szCs w:val="21"/>
                <w14:textFill>
                  <w14:solidFill>
                    <w14:schemeClr w14:val="tx1"/>
                  </w14:solidFill>
                </w14:textFill>
              </w:rPr>
            </w:pPr>
          </w:p>
        </w:tc>
        <w:tc>
          <w:tcPr>
            <w:tcW w:w="2391" w:type="dxa"/>
            <w:vMerge w:val="continue"/>
            <w:vAlign w:val="center"/>
          </w:tcPr>
          <w:p w14:paraId="6E19A2CD">
            <w:pPr>
              <w:widowControl/>
              <w:spacing w:line="240" w:lineRule="auto"/>
              <w:ind w:firstLine="0" w:firstLineChars="0"/>
              <w:jc w:val="center"/>
              <w:rPr>
                <w:color w:val="000000" w:themeColor="text1"/>
                <w:sz w:val="21"/>
                <w:szCs w:val="21"/>
                <w14:textFill>
                  <w14:solidFill>
                    <w14:schemeClr w14:val="tx1"/>
                  </w14:solidFill>
                </w14:textFill>
              </w:rPr>
            </w:pPr>
          </w:p>
        </w:tc>
      </w:tr>
    </w:tbl>
    <w:p w14:paraId="292A7A7A">
      <w:pPr>
        <w:widowControl/>
        <w:spacing w:line="240" w:lineRule="auto"/>
        <w:ind w:firstLine="420"/>
        <w:jc w:val="left"/>
        <w:rPr>
          <w:color w:val="000000" w:themeColor="text1"/>
          <w:sz w:val="21"/>
          <w:szCs w:val="21"/>
          <w14:textFill>
            <w14:solidFill>
              <w14:schemeClr w14:val="tx1"/>
            </w14:solidFill>
          </w14:textFill>
        </w:rPr>
      </w:pPr>
    </w:p>
    <w:p w14:paraId="2439BA0F">
      <w:pPr>
        <w:widowControl/>
        <w:spacing w:line="240" w:lineRule="auto"/>
        <w:ind w:firstLine="422"/>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表</w:t>
      </w:r>
      <w:r>
        <w:rPr>
          <w:b/>
          <w:color w:val="000000" w:themeColor="text1"/>
          <w:sz w:val="21"/>
          <w:szCs w:val="21"/>
          <w14:textFill>
            <w14:solidFill>
              <w14:schemeClr w14:val="tx1"/>
            </w14:solidFill>
          </w14:textFill>
        </w:rPr>
        <w:t xml:space="preserve">A.5 </w:t>
      </w:r>
      <w:r>
        <w:rPr>
          <w:rFonts w:hint="eastAsia"/>
          <w:b/>
          <w:color w:val="000000" w:themeColor="text1"/>
          <w:sz w:val="21"/>
          <w:szCs w:val="21"/>
          <w14:textFill>
            <w14:solidFill>
              <w14:schemeClr w14:val="tx1"/>
            </w14:solidFill>
          </w14:textFill>
        </w:rPr>
        <w:t>制革工业废水污染防治可行技术参照表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1"/>
        <w:gridCol w:w="1939"/>
        <w:gridCol w:w="5006"/>
      </w:tblGrid>
      <w:tr w14:paraId="0FD66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351" w:type="dxa"/>
            <w:vAlign w:val="center"/>
          </w:tcPr>
          <w:p w14:paraId="18E5C92C">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废水类别</w:t>
            </w:r>
          </w:p>
        </w:tc>
        <w:tc>
          <w:tcPr>
            <w:tcW w:w="1939" w:type="dxa"/>
            <w:vAlign w:val="center"/>
          </w:tcPr>
          <w:p w14:paraId="5401B7C3">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污染物种类</w:t>
            </w:r>
          </w:p>
        </w:tc>
        <w:tc>
          <w:tcPr>
            <w:tcW w:w="5006" w:type="dxa"/>
            <w:vAlign w:val="center"/>
          </w:tcPr>
          <w:p w14:paraId="599A6248">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可行技术</w:t>
            </w:r>
          </w:p>
        </w:tc>
      </w:tr>
      <w:tr w14:paraId="2E9FD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vAlign w:val="center"/>
          </w:tcPr>
          <w:p w14:paraId="271B2F26">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含铬废水</w:t>
            </w:r>
          </w:p>
        </w:tc>
        <w:tc>
          <w:tcPr>
            <w:tcW w:w="1939" w:type="dxa"/>
            <w:vAlign w:val="center"/>
          </w:tcPr>
          <w:p w14:paraId="02381D1F">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总铬、六价铬</w:t>
            </w:r>
          </w:p>
        </w:tc>
        <w:tc>
          <w:tcPr>
            <w:tcW w:w="5006" w:type="dxa"/>
            <w:vAlign w:val="center"/>
          </w:tcPr>
          <w:p w14:paraId="7F8FB985">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结合生产工艺采用铬减量化和封闭循环利用或沉淀、过滤、吸附及深度处理等技术，经处理总铬、六价铬满足限值要求后排至污水处理站进一步处理</w:t>
            </w:r>
          </w:p>
        </w:tc>
      </w:tr>
      <w:tr w14:paraId="5C290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vAlign w:val="center"/>
          </w:tcPr>
          <w:p w14:paraId="79DCCCC8">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全厂废水</w:t>
            </w:r>
          </w:p>
        </w:tc>
        <w:tc>
          <w:tcPr>
            <w:tcW w:w="1939" w:type="dxa"/>
            <w:vAlign w:val="center"/>
          </w:tcPr>
          <w:p w14:paraId="6C04B3F3">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pH值、色度、五日生化需氧量，悬浮物、化学需氧量、氨氮、总氨、总磷、动植物油、硫化物、氯离子</w:t>
            </w:r>
          </w:p>
        </w:tc>
        <w:tc>
          <w:tcPr>
            <w:tcW w:w="5006" w:type="dxa"/>
            <w:vAlign w:val="center"/>
          </w:tcPr>
          <w:p w14:paraId="7726FDDF">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排至污水处理站经一级物化、二级生化、深度处理或全生化工艺后回用或经总排放口达标外排。</w:t>
            </w:r>
          </w:p>
          <w:p w14:paraId="4FECED09">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一级物化:隔油、气浮、混凝、沉淀等；</w:t>
            </w:r>
          </w:p>
          <w:p w14:paraId="794E8F30">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二级生化: AO、变型AO、氧化沟、AB、SBR、生物接触氧化、BAF、MBR、厌氧等，以及相应组合工艺；</w:t>
            </w:r>
          </w:p>
          <w:p w14:paraId="068B61A4">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深度处理:氧化塘、芬顿氧化/臭氧氧化、生物滤池、膜技术(微滤/超滤/反渗透)、吸附等。</w:t>
            </w:r>
          </w:p>
        </w:tc>
      </w:tr>
    </w:tbl>
    <w:p w14:paraId="3745F641">
      <w:pPr>
        <w:widowControl/>
        <w:spacing w:line="240" w:lineRule="auto"/>
        <w:ind w:firstLine="420"/>
        <w:jc w:val="left"/>
        <w:rPr>
          <w:color w:val="000000" w:themeColor="text1"/>
          <w:sz w:val="21"/>
          <w:szCs w:val="21"/>
          <w14:textFill>
            <w14:solidFill>
              <w14:schemeClr w14:val="tx1"/>
            </w14:solidFill>
          </w14:textFill>
        </w:rPr>
      </w:pPr>
    </w:p>
    <w:p w14:paraId="63730522">
      <w:pPr>
        <w:widowControl/>
        <w:spacing w:line="240" w:lineRule="auto"/>
        <w:ind w:firstLine="0" w:firstLineChars="0"/>
        <w:jc w:val="left"/>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br w:type="page"/>
      </w:r>
    </w:p>
    <w:p w14:paraId="3CA7465A">
      <w:pPr>
        <w:widowControl/>
        <w:spacing w:line="240" w:lineRule="auto"/>
        <w:ind w:firstLine="422"/>
        <w:jc w:val="center"/>
        <w:rPr>
          <w:b/>
          <w:color w:val="FF0000"/>
          <w:sz w:val="21"/>
          <w:szCs w:val="21"/>
          <w:highlight w:val="yellow"/>
        </w:rPr>
      </w:pPr>
      <w:bookmarkStart w:id="35" w:name="_GoBack"/>
      <w:r>
        <w:rPr>
          <w:rFonts w:hint="eastAsia"/>
          <w:b/>
          <w:color w:val="FF0000"/>
          <w:sz w:val="21"/>
          <w:szCs w:val="21"/>
          <w:highlight w:val="yellow"/>
        </w:rPr>
        <w:t>表</w:t>
      </w:r>
      <w:r>
        <w:rPr>
          <w:b/>
          <w:color w:val="FF0000"/>
          <w:sz w:val="21"/>
          <w:szCs w:val="21"/>
          <w:highlight w:val="yellow"/>
        </w:rPr>
        <w:t xml:space="preserve">A.6 </w:t>
      </w:r>
      <w:r>
        <w:rPr>
          <w:rFonts w:hint="eastAsia"/>
          <w:b/>
          <w:color w:val="FF0000"/>
          <w:sz w:val="21"/>
          <w:szCs w:val="21"/>
          <w:highlight w:val="yellow"/>
        </w:rPr>
        <w:t>铅蓄电池</w:t>
      </w:r>
      <w:r>
        <w:rPr>
          <w:rFonts w:hint="eastAsia"/>
          <w:b/>
          <w:color w:val="FF0000"/>
          <w:sz w:val="21"/>
          <w:szCs w:val="21"/>
          <w:highlight w:val="yellow"/>
          <w:lang w:val="en-US" w:eastAsia="zh-CN"/>
        </w:rPr>
        <w:t>生产废水</w:t>
      </w:r>
      <w:r>
        <w:rPr>
          <w:rFonts w:hint="eastAsia"/>
          <w:b/>
          <w:color w:val="FF0000"/>
          <w:sz w:val="21"/>
          <w:szCs w:val="21"/>
          <w:highlight w:val="yellow"/>
        </w:rPr>
        <w:t>污染防治可行技术参照表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8"/>
        <w:gridCol w:w="2629"/>
        <w:gridCol w:w="3499"/>
      </w:tblGrid>
      <w:tr w14:paraId="2EE77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vAlign w:val="center"/>
          </w:tcPr>
          <w:p w14:paraId="3FA017F8">
            <w:pPr>
              <w:widowControl/>
              <w:spacing w:line="240" w:lineRule="auto"/>
              <w:ind w:firstLine="0" w:firstLineChars="0"/>
              <w:jc w:val="center"/>
              <w:rPr>
                <w:b/>
                <w:color w:val="FF0000"/>
                <w:sz w:val="21"/>
                <w:szCs w:val="21"/>
                <w:highlight w:val="yellow"/>
              </w:rPr>
            </w:pPr>
            <w:r>
              <w:rPr>
                <w:rFonts w:hint="eastAsia"/>
                <w:b/>
                <w:color w:val="FF0000"/>
                <w:sz w:val="21"/>
                <w:szCs w:val="21"/>
                <w:highlight w:val="yellow"/>
              </w:rPr>
              <w:t>污染源</w:t>
            </w:r>
          </w:p>
        </w:tc>
        <w:tc>
          <w:tcPr>
            <w:tcW w:w="2629" w:type="dxa"/>
            <w:vAlign w:val="center"/>
          </w:tcPr>
          <w:p w14:paraId="541B6EE5">
            <w:pPr>
              <w:widowControl/>
              <w:spacing w:line="240" w:lineRule="auto"/>
              <w:ind w:firstLine="0" w:firstLineChars="0"/>
              <w:jc w:val="center"/>
              <w:rPr>
                <w:b/>
                <w:color w:val="FF0000"/>
                <w:sz w:val="21"/>
                <w:szCs w:val="21"/>
                <w:highlight w:val="yellow"/>
              </w:rPr>
            </w:pPr>
            <w:r>
              <w:rPr>
                <w:rFonts w:hint="eastAsia"/>
                <w:b/>
                <w:color w:val="FF0000"/>
                <w:sz w:val="21"/>
                <w:szCs w:val="21"/>
                <w:highlight w:val="yellow"/>
              </w:rPr>
              <w:t>主要污染物</w:t>
            </w:r>
          </w:p>
        </w:tc>
        <w:tc>
          <w:tcPr>
            <w:tcW w:w="3499" w:type="dxa"/>
            <w:vAlign w:val="center"/>
          </w:tcPr>
          <w:p w14:paraId="7C39D095">
            <w:pPr>
              <w:widowControl/>
              <w:spacing w:line="240" w:lineRule="auto"/>
              <w:ind w:firstLine="0" w:firstLineChars="0"/>
              <w:jc w:val="center"/>
              <w:rPr>
                <w:b/>
                <w:color w:val="FF0000"/>
                <w:sz w:val="21"/>
                <w:szCs w:val="21"/>
                <w:highlight w:val="yellow"/>
              </w:rPr>
            </w:pPr>
            <w:r>
              <w:rPr>
                <w:rFonts w:hint="eastAsia"/>
                <w:b/>
                <w:color w:val="FF0000"/>
                <w:sz w:val="21"/>
                <w:szCs w:val="21"/>
                <w:highlight w:val="yellow"/>
              </w:rPr>
              <w:t>可行技术</w:t>
            </w:r>
          </w:p>
        </w:tc>
      </w:tr>
      <w:tr w14:paraId="7CB50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vAlign w:val="center"/>
          </w:tcPr>
          <w:p w14:paraId="1382E491">
            <w:pPr>
              <w:widowControl/>
              <w:spacing w:line="240" w:lineRule="auto"/>
              <w:ind w:firstLine="0" w:firstLineChars="0"/>
              <w:jc w:val="center"/>
              <w:rPr>
                <w:color w:val="FF0000"/>
                <w:sz w:val="21"/>
                <w:szCs w:val="21"/>
                <w:highlight w:val="yellow"/>
              </w:rPr>
            </w:pPr>
            <w:r>
              <w:rPr>
                <w:rFonts w:hint="eastAsia"/>
                <w:color w:val="FF0000"/>
                <w:sz w:val="21"/>
                <w:szCs w:val="21"/>
                <w:highlight w:val="yellow"/>
              </w:rPr>
              <w:t>铅蓄电池生产废水</w:t>
            </w:r>
          </w:p>
        </w:tc>
        <w:tc>
          <w:tcPr>
            <w:tcW w:w="2629" w:type="dxa"/>
            <w:vAlign w:val="center"/>
          </w:tcPr>
          <w:p w14:paraId="15C3D7C1">
            <w:pPr>
              <w:widowControl/>
              <w:spacing w:line="240" w:lineRule="auto"/>
              <w:ind w:firstLine="0" w:firstLineChars="0"/>
              <w:jc w:val="center"/>
              <w:rPr>
                <w:color w:val="FF0000"/>
                <w:sz w:val="21"/>
                <w:szCs w:val="21"/>
                <w:highlight w:val="yellow"/>
              </w:rPr>
            </w:pPr>
            <w:r>
              <w:rPr>
                <w:rFonts w:hint="eastAsia"/>
                <w:color w:val="FF0000"/>
                <w:sz w:val="21"/>
                <w:szCs w:val="21"/>
                <w:highlight w:val="yellow"/>
              </w:rPr>
              <w:t>总铅</w:t>
            </w:r>
          </w:p>
        </w:tc>
        <w:tc>
          <w:tcPr>
            <w:tcW w:w="3499" w:type="dxa"/>
            <w:vAlign w:val="center"/>
          </w:tcPr>
          <w:p w14:paraId="42B595FC">
            <w:pPr>
              <w:widowControl/>
              <w:spacing w:line="240" w:lineRule="auto"/>
              <w:ind w:firstLine="0" w:firstLineChars="0"/>
              <w:rPr>
                <w:color w:val="FF0000"/>
                <w:sz w:val="21"/>
                <w:szCs w:val="21"/>
                <w:highlight w:val="yellow"/>
              </w:rPr>
            </w:pPr>
            <w:r>
              <w:rPr>
                <w:rFonts w:hint="eastAsia"/>
                <w:color w:val="FF0000"/>
                <w:sz w:val="21"/>
                <w:szCs w:val="21"/>
                <w:highlight w:val="yellow"/>
              </w:rPr>
              <w:t>电化学法:膜分离法:化学混凝沉淀法:离子交换法:化学混凝沉淀+超滤+反渗透等组合工艺</w:t>
            </w:r>
          </w:p>
        </w:tc>
      </w:tr>
    </w:tbl>
    <w:p w14:paraId="7F93E313">
      <w:pPr>
        <w:widowControl/>
        <w:spacing w:line="240" w:lineRule="auto"/>
        <w:ind w:firstLine="420"/>
        <w:jc w:val="left"/>
        <w:rPr>
          <w:rFonts w:hint="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 xml:space="preserve"> </w:t>
      </w:r>
    </w:p>
    <w:p w14:paraId="4CC765D4">
      <w:pPr>
        <w:widowControl/>
        <w:spacing w:line="240" w:lineRule="auto"/>
        <w:ind w:firstLine="422"/>
        <w:jc w:val="center"/>
        <w:rPr>
          <w:b/>
          <w:color w:val="000000" w:themeColor="text1"/>
          <w:sz w:val="21"/>
          <w:szCs w:val="21"/>
          <w14:textFill>
            <w14:solidFill>
              <w14:schemeClr w14:val="tx1"/>
            </w14:solidFill>
          </w14:textFill>
        </w:rPr>
      </w:pPr>
      <w:r>
        <w:rPr>
          <w:rFonts w:hint="eastAsia"/>
          <w:b/>
          <w:color w:val="FF0000"/>
          <w:sz w:val="21"/>
          <w:szCs w:val="21"/>
        </w:rPr>
        <w:t>表</w:t>
      </w:r>
      <w:r>
        <w:rPr>
          <w:b/>
          <w:color w:val="FF0000"/>
          <w:sz w:val="21"/>
          <w:szCs w:val="21"/>
        </w:rPr>
        <w:t>A.</w:t>
      </w:r>
      <w:r>
        <w:rPr>
          <w:rFonts w:hint="eastAsia"/>
          <w:b/>
          <w:color w:val="FF0000"/>
          <w:sz w:val="21"/>
          <w:szCs w:val="21"/>
          <w:lang w:val="en-US" w:eastAsia="zh-CN"/>
        </w:rPr>
        <w:t>7</w:t>
      </w:r>
      <w:r>
        <w:rPr>
          <w:b/>
          <w:color w:val="000000" w:themeColor="text1"/>
          <w:sz w:val="21"/>
          <w:szCs w:val="21"/>
          <w14:textFill>
            <w14:solidFill>
              <w14:schemeClr w14:val="tx1"/>
            </w14:solidFill>
          </w14:textFill>
        </w:rPr>
        <w:t xml:space="preserve"> </w:t>
      </w:r>
      <w:r>
        <w:rPr>
          <w:rFonts w:hint="eastAsia"/>
          <w:b/>
          <w:color w:val="000000" w:themeColor="text1"/>
          <w:sz w:val="21"/>
          <w:szCs w:val="21"/>
          <w14:textFill>
            <w14:solidFill>
              <w14:schemeClr w14:val="tx1"/>
            </w14:solidFill>
          </w14:textFill>
        </w:rPr>
        <w:t>造纸和纸制品业废水污染防治可行技术参照表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5"/>
        <w:gridCol w:w="6391"/>
      </w:tblGrid>
      <w:tr w14:paraId="3CF91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905" w:type="dxa"/>
            <w:vAlign w:val="center"/>
          </w:tcPr>
          <w:p w14:paraId="02799D31">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排污单位类型</w:t>
            </w:r>
          </w:p>
        </w:tc>
        <w:tc>
          <w:tcPr>
            <w:tcW w:w="6391" w:type="dxa"/>
            <w:vAlign w:val="center"/>
          </w:tcPr>
          <w:p w14:paraId="37319F5E">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污染治理工艺</w:t>
            </w:r>
          </w:p>
        </w:tc>
      </w:tr>
      <w:tr w14:paraId="68CB4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5" w:type="dxa"/>
            <w:vAlign w:val="center"/>
          </w:tcPr>
          <w:p w14:paraId="6FA27608">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手工纸排污单位</w:t>
            </w:r>
          </w:p>
        </w:tc>
        <w:tc>
          <w:tcPr>
            <w:tcW w:w="6391" w:type="dxa"/>
            <w:vAlign w:val="center"/>
          </w:tcPr>
          <w:p w14:paraId="59343A93">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一级处理+二级处理(厌氧+好氧)+三级处理(混凝沉淀、气浮或芬顿氧化)</w:t>
            </w:r>
          </w:p>
        </w:tc>
      </w:tr>
      <w:tr w14:paraId="526AD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5" w:type="dxa"/>
            <w:vAlign w:val="center"/>
          </w:tcPr>
          <w:p w14:paraId="42B69E17">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加工纸和纸制品排污单位</w:t>
            </w:r>
          </w:p>
        </w:tc>
        <w:tc>
          <w:tcPr>
            <w:tcW w:w="6391" w:type="dxa"/>
            <w:vAlign w:val="center"/>
          </w:tcPr>
          <w:p w14:paraId="2225B70A">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一级处理或一级处理+二级处理(厌氧+好氧)</w:t>
            </w:r>
          </w:p>
        </w:tc>
      </w:tr>
    </w:tbl>
    <w:p w14:paraId="19922596">
      <w:pPr>
        <w:widowControl/>
        <w:spacing w:line="240" w:lineRule="auto"/>
        <w:ind w:firstLine="420"/>
        <w:jc w:val="left"/>
        <w:rPr>
          <w:color w:val="000000" w:themeColor="text1"/>
          <w:sz w:val="21"/>
          <w:szCs w:val="21"/>
          <w14:textFill>
            <w14:solidFill>
              <w14:schemeClr w14:val="tx1"/>
            </w14:solidFill>
          </w14:textFill>
        </w:rPr>
      </w:pPr>
    </w:p>
    <w:p w14:paraId="609BD4C7">
      <w:pPr>
        <w:widowControl/>
        <w:spacing w:line="240" w:lineRule="auto"/>
        <w:ind w:firstLine="420"/>
        <w:jc w:val="left"/>
        <w:rPr>
          <w:rFonts w:hint="eastAsia"/>
          <w:color w:val="000000" w:themeColor="text1"/>
          <w:sz w:val="21"/>
          <w:szCs w:val="21"/>
          <w:lang w:val="en-US" w:eastAsia="zh-CN"/>
          <w14:textFill>
            <w14:solidFill>
              <w14:schemeClr w14:val="tx1"/>
            </w14:solidFill>
          </w14:textFill>
        </w:rPr>
      </w:pPr>
    </w:p>
    <w:p w14:paraId="00C31DCE">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b/>
          <w:color w:val="FF0000"/>
          <w:sz w:val="21"/>
          <w:szCs w:val="21"/>
          <w:highlight w:val="yellow"/>
        </w:rPr>
      </w:pPr>
      <w:r>
        <w:rPr>
          <w:rFonts w:hint="eastAsia"/>
          <w:b/>
          <w:color w:val="FF0000"/>
          <w:sz w:val="21"/>
          <w:szCs w:val="21"/>
          <w:highlight w:val="yellow"/>
        </w:rPr>
        <w:t>表</w:t>
      </w:r>
      <w:r>
        <w:rPr>
          <w:b/>
          <w:color w:val="FF0000"/>
          <w:sz w:val="21"/>
          <w:szCs w:val="21"/>
          <w:highlight w:val="yellow"/>
        </w:rPr>
        <w:t>A.</w:t>
      </w:r>
      <w:r>
        <w:rPr>
          <w:rFonts w:hint="eastAsia"/>
          <w:b/>
          <w:color w:val="FF0000"/>
          <w:sz w:val="21"/>
          <w:szCs w:val="21"/>
          <w:highlight w:val="yellow"/>
          <w:lang w:val="en-US" w:eastAsia="zh-CN"/>
        </w:rPr>
        <w:t>8</w:t>
      </w:r>
      <w:r>
        <w:rPr>
          <w:b/>
          <w:color w:val="FF0000"/>
          <w:sz w:val="21"/>
          <w:szCs w:val="21"/>
          <w:highlight w:val="yellow"/>
        </w:rPr>
        <w:t xml:space="preserve"> </w:t>
      </w:r>
      <w:r>
        <w:rPr>
          <w:rFonts w:hint="eastAsia"/>
          <w:b/>
          <w:color w:val="FF0000"/>
          <w:sz w:val="21"/>
          <w:szCs w:val="21"/>
          <w:highlight w:val="yellow"/>
          <w:lang w:val="en-US" w:eastAsia="zh-CN"/>
        </w:rPr>
        <w:t>光伏设备制造</w:t>
      </w:r>
      <w:r>
        <w:rPr>
          <w:rFonts w:hint="eastAsia"/>
          <w:b/>
          <w:color w:val="FF0000"/>
          <w:sz w:val="21"/>
          <w:szCs w:val="21"/>
          <w:highlight w:val="yellow"/>
        </w:rPr>
        <w:t>废水污染防治可行技术参照表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8"/>
        <w:gridCol w:w="2629"/>
        <w:gridCol w:w="3499"/>
      </w:tblGrid>
      <w:tr w14:paraId="58005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vAlign w:val="center"/>
          </w:tcPr>
          <w:p w14:paraId="3024A2FF">
            <w:pPr>
              <w:widowControl/>
              <w:spacing w:line="240" w:lineRule="auto"/>
              <w:ind w:firstLine="0" w:firstLineChars="0"/>
              <w:jc w:val="center"/>
              <w:rPr>
                <w:b/>
                <w:color w:val="FF0000"/>
                <w:sz w:val="21"/>
                <w:szCs w:val="21"/>
                <w:highlight w:val="yellow"/>
              </w:rPr>
            </w:pPr>
            <w:r>
              <w:rPr>
                <w:rFonts w:hint="eastAsia"/>
                <w:b/>
                <w:color w:val="FF0000"/>
                <w:sz w:val="21"/>
                <w:szCs w:val="21"/>
                <w:highlight w:val="yellow"/>
              </w:rPr>
              <w:t>污染源</w:t>
            </w:r>
          </w:p>
        </w:tc>
        <w:tc>
          <w:tcPr>
            <w:tcW w:w="2629" w:type="dxa"/>
            <w:vAlign w:val="center"/>
          </w:tcPr>
          <w:p w14:paraId="30D89050">
            <w:pPr>
              <w:widowControl/>
              <w:spacing w:line="240" w:lineRule="auto"/>
              <w:ind w:firstLine="0" w:firstLineChars="0"/>
              <w:jc w:val="center"/>
              <w:rPr>
                <w:b/>
                <w:color w:val="FF0000"/>
                <w:sz w:val="21"/>
                <w:szCs w:val="21"/>
                <w:highlight w:val="yellow"/>
              </w:rPr>
            </w:pPr>
            <w:r>
              <w:rPr>
                <w:rFonts w:hint="eastAsia"/>
                <w:b/>
                <w:color w:val="FF0000"/>
                <w:sz w:val="21"/>
                <w:szCs w:val="21"/>
                <w:highlight w:val="yellow"/>
              </w:rPr>
              <w:t>主要污染物</w:t>
            </w:r>
          </w:p>
        </w:tc>
        <w:tc>
          <w:tcPr>
            <w:tcW w:w="3499" w:type="dxa"/>
            <w:vAlign w:val="center"/>
          </w:tcPr>
          <w:p w14:paraId="515617A7">
            <w:pPr>
              <w:widowControl/>
              <w:spacing w:line="240" w:lineRule="auto"/>
              <w:ind w:firstLine="0" w:firstLineChars="0"/>
              <w:jc w:val="center"/>
              <w:rPr>
                <w:b/>
                <w:color w:val="FF0000"/>
                <w:sz w:val="21"/>
                <w:szCs w:val="21"/>
                <w:highlight w:val="yellow"/>
              </w:rPr>
            </w:pPr>
            <w:r>
              <w:rPr>
                <w:rFonts w:hint="eastAsia"/>
                <w:b/>
                <w:color w:val="FF0000"/>
                <w:sz w:val="21"/>
                <w:szCs w:val="21"/>
                <w:highlight w:val="yellow"/>
              </w:rPr>
              <w:t>可行技术</w:t>
            </w:r>
          </w:p>
        </w:tc>
      </w:tr>
      <w:tr w14:paraId="144EE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vAlign w:val="center"/>
          </w:tcPr>
          <w:p w14:paraId="42AA26FE">
            <w:pPr>
              <w:widowControl/>
              <w:spacing w:line="240" w:lineRule="auto"/>
              <w:ind w:firstLine="0" w:firstLineChars="0"/>
              <w:jc w:val="center"/>
              <w:rPr>
                <w:color w:val="FF0000"/>
                <w:sz w:val="21"/>
                <w:szCs w:val="21"/>
                <w:highlight w:val="yellow"/>
              </w:rPr>
            </w:pPr>
            <w:r>
              <w:rPr>
                <w:rFonts w:hint="eastAsia"/>
                <w:color w:val="FF0000"/>
                <w:sz w:val="21"/>
                <w:szCs w:val="21"/>
                <w:highlight w:val="yellow"/>
              </w:rPr>
              <w:t>品硅太阳电池生产废水</w:t>
            </w:r>
          </w:p>
        </w:tc>
        <w:tc>
          <w:tcPr>
            <w:tcW w:w="2629" w:type="dxa"/>
            <w:vAlign w:val="center"/>
          </w:tcPr>
          <w:p w14:paraId="5BB62D1C">
            <w:pPr>
              <w:widowControl/>
              <w:spacing w:line="240" w:lineRule="auto"/>
              <w:ind w:firstLine="0" w:firstLineChars="0"/>
              <w:jc w:val="center"/>
              <w:rPr>
                <w:color w:val="FF0000"/>
                <w:sz w:val="21"/>
                <w:szCs w:val="21"/>
                <w:highlight w:val="yellow"/>
              </w:rPr>
            </w:pPr>
            <w:r>
              <w:rPr>
                <w:rFonts w:hint="eastAsia"/>
                <w:color w:val="FF0000"/>
                <w:sz w:val="21"/>
                <w:szCs w:val="21"/>
                <w:highlight w:val="yellow"/>
              </w:rPr>
              <w:t>氟化物(以F计)</w:t>
            </w:r>
          </w:p>
        </w:tc>
        <w:tc>
          <w:tcPr>
            <w:tcW w:w="3499" w:type="dxa"/>
            <w:vAlign w:val="center"/>
          </w:tcPr>
          <w:p w14:paraId="0B668E37">
            <w:pPr>
              <w:widowControl/>
              <w:spacing w:line="240" w:lineRule="auto"/>
              <w:ind w:firstLine="0" w:firstLineChars="0"/>
              <w:rPr>
                <w:color w:val="FF0000"/>
                <w:sz w:val="21"/>
                <w:szCs w:val="21"/>
                <w:highlight w:val="yellow"/>
              </w:rPr>
            </w:pPr>
            <w:r>
              <w:rPr>
                <w:rFonts w:hint="eastAsia"/>
                <w:color w:val="FF0000"/>
                <w:sz w:val="21"/>
                <w:szCs w:val="21"/>
                <w:highlight w:val="yellow"/>
              </w:rPr>
              <w:t>CaCl</w:t>
            </w:r>
            <w:r>
              <w:rPr>
                <w:color w:val="FF0000"/>
                <w:sz w:val="21"/>
                <w:szCs w:val="21"/>
                <w:highlight w:val="yellow"/>
                <w:vertAlign w:val="subscript"/>
              </w:rPr>
              <w:t>2</w:t>
            </w:r>
            <w:r>
              <w:rPr>
                <w:rFonts w:hint="eastAsia"/>
                <w:color w:val="FF0000"/>
                <w:sz w:val="21"/>
                <w:szCs w:val="21"/>
                <w:highlight w:val="yellow"/>
              </w:rPr>
              <w:t>或Ca(OH)</w:t>
            </w:r>
            <w:r>
              <w:rPr>
                <w:color w:val="FF0000"/>
                <w:sz w:val="21"/>
                <w:szCs w:val="21"/>
                <w:highlight w:val="yellow"/>
                <w:vertAlign w:val="subscript"/>
              </w:rPr>
              <w:t>2</w:t>
            </w:r>
            <w:r>
              <w:rPr>
                <w:rFonts w:hint="eastAsia"/>
                <w:color w:val="FF0000"/>
                <w:sz w:val="21"/>
                <w:szCs w:val="21"/>
                <w:highlight w:val="yellow"/>
              </w:rPr>
              <w:t>二级或三级沉淀</w:t>
            </w:r>
          </w:p>
        </w:tc>
      </w:tr>
      <w:tr w14:paraId="3C4BE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vMerge w:val="restart"/>
            <w:vAlign w:val="center"/>
          </w:tcPr>
          <w:p w14:paraId="774263DA">
            <w:pPr>
              <w:widowControl/>
              <w:spacing w:line="240" w:lineRule="auto"/>
              <w:ind w:firstLine="0" w:firstLineChars="0"/>
              <w:jc w:val="center"/>
              <w:rPr>
                <w:color w:val="FF0000"/>
                <w:sz w:val="21"/>
                <w:szCs w:val="21"/>
                <w:highlight w:val="yellow"/>
              </w:rPr>
            </w:pPr>
            <w:r>
              <w:rPr>
                <w:rFonts w:hint="eastAsia"/>
                <w:color w:val="FF0000"/>
                <w:sz w:val="21"/>
                <w:szCs w:val="21"/>
                <w:highlight w:val="yellow"/>
              </w:rPr>
              <w:t>薄膜太阳电池</w:t>
            </w:r>
          </w:p>
        </w:tc>
        <w:tc>
          <w:tcPr>
            <w:tcW w:w="2629" w:type="dxa"/>
            <w:vAlign w:val="center"/>
          </w:tcPr>
          <w:p w14:paraId="7D87D028">
            <w:pPr>
              <w:widowControl/>
              <w:spacing w:line="240" w:lineRule="auto"/>
              <w:ind w:firstLine="0" w:firstLineChars="0"/>
              <w:jc w:val="center"/>
              <w:rPr>
                <w:color w:val="FF0000"/>
                <w:sz w:val="21"/>
                <w:szCs w:val="21"/>
                <w:highlight w:val="yellow"/>
              </w:rPr>
            </w:pPr>
            <w:r>
              <w:rPr>
                <w:rFonts w:hint="eastAsia"/>
                <w:color w:val="FF0000"/>
                <w:sz w:val="21"/>
                <w:szCs w:val="21"/>
                <w:highlight w:val="yellow"/>
              </w:rPr>
              <w:t>氟化物(以F计)</w:t>
            </w:r>
          </w:p>
        </w:tc>
        <w:tc>
          <w:tcPr>
            <w:tcW w:w="3499" w:type="dxa"/>
            <w:vAlign w:val="center"/>
          </w:tcPr>
          <w:p w14:paraId="7BFBD189">
            <w:pPr>
              <w:widowControl/>
              <w:spacing w:line="240" w:lineRule="auto"/>
              <w:ind w:firstLine="0" w:firstLineChars="0"/>
              <w:rPr>
                <w:color w:val="FF0000"/>
                <w:sz w:val="21"/>
                <w:szCs w:val="21"/>
                <w:highlight w:val="yellow"/>
              </w:rPr>
            </w:pPr>
            <w:r>
              <w:rPr>
                <w:rFonts w:hint="eastAsia"/>
                <w:color w:val="FF0000"/>
                <w:sz w:val="21"/>
                <w:szCs w:val="21"/>
                <w:highlight w:val="yellow"/>
              </w:rPr>
              <w:t>CaCl</w:t>
            </w:r>
            <w:r>
              <w:rPr>
                <w:color w:val="FF0000"/>
                <w:sz w:val="21"/>
                <w:szCs w:val="21"/>
                <w:highlight w:val="yellow"/>
                <w:vertAlign w:val="subscript"/>
              </w:rPr>
              <w:t>2</w:t>
            </w:r>
            <w:r>
              <w:rPr>
                <w:rFonts w:hint="eastAsia"/>
                <w:color w:val="FF0000"/>
                <w:sz w:val="21"/>
                <w:szCs w:val="21"/>
                <w:highlight w:val="yellow"/>
              </w:rPr>
              <w:t>或Ca(OH)</w:t>
            </w:r>
            <w:r>
              <w:rPr>
                <w:rFonts w:hint="eastAsia"/>
                <w:color w:val="FF0000"/>
                <w:sz w:val="21"/>
                <w:szCs w:val="21"/>
                <w:highlight w:val="yellow"/>
                <w:vertAlign w:val="subscript"/>
              </w:rPr>
              <w:t>2</w:t>
            </w:r>
            <w:r>
              <w:rPr>
                <w:rFonts w:hint="eastAsia"/>
                <w:color w:val="FF0000"/>
                <w:sz w:val="21"/>
                <w:szCs w:val="21"/>
                <w:highlight w:val="yellow"/>
              </w:rPr>
              <w:t>二级或三级沉淀</w:t>
            </w:r>
          </w:p>
        </w:tc>
      </w:tr>
      <w:tr w14:paraId="32685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vMerge w:val="continue"/>
            <w:vAlign w:val="center"/>
          </w:tcPr>
          <w:p w14:paraId="3226DFD6">
            <w:pPr>
              <w:widowControl/>
              <w:spacing w:line="240" w:lineRule="auto"/>
              <w:ind w:firstLine="0" w:firstLineChars="0"/>
              <w:jc w:val="center"/>
              <w:rPr>
                <w:color w:val="FF0000"/>
                <w:sz w:val="21"/>
                <w:szCs w:val="21"/>
                <w:highlight w:val="yellow"/>
              </w:rPr>
            </w:pPr>
          </w:p>
        </w:tc>
        <w:tc>
          <w:tcPr>
            <w:tcW w:w="2629" w:type="dxa"/>
            <w:vAlign w:val="center"/>
          </w:tcPr>
          <w:p w14:paraId="14C2F292">
            <w:pPr>
              <w:widowControl/>
              <w:spacing w:line="240" w:lineRule="auto"/>
              <w:ind w:firstLine="0" w:firstLineChars="0"/>
              <w:jc w:val="center"/>
              <w:rPr>
                <w:color w:val="FF0000"/>
                <w:sz w:val="21"/>
                <w:szCs w:val="21"/>
                <w:highlight w:val="yellow"/>
              </w:rPr>
            </w:pPr>
            <w:r>
              <w:rPr>
                <w:rFonts w:hint="eastAsia"/>
                <w:color w:val="FF0000"/>
                <w:sz w:val="21"/>
                <w:szCs w:val="21"/>
                <w:highlight w:val="yellow"/>
              </w:rPr>
              <w:t>总镉</w:t>
            </w:r>
          </w:p>
        </w:tc>
        <w:tc>
          <w:tcPr>
            <w:tcW w:w="3499" w:type="dxa"/>
            <w:vAlign w:val="center"/>
          </w:tcPr>
          <w:p w14:paraId="61F11ABA">
            <w:pPr>
              <w:widowControl/>
              <w:spacing w:line="240" w:lineRule="auto"/>
              <w:ind w:firstLine="0" w:firstLineChars="0"/>
              <w:rPr>
                <w:color w:val="FF0000"/>
                <w:sz w:val="21"/>
                <w:szCs w:val="21"/>
                <w:highlight w:val="yellow"/>
              </w:rPr>
            </w:pPr>
            <w:r>
              <w:rPr>
                <w:rFonts w:hint="eastAsia"/>
                <w:color w:val="FF0000"/>
                <w:sz w:val="21"/>
                <w:szCs w:val="21"/>
                <w:highlight w:val="yellow"/>
              </w:rPr>
              <w:t>电化学法:膜分离法:化学混凝沉淀法:离子交换法:化学混凝沉淀+超滤+反渗透等组合工艺</w:t>
            </w:r>
          </w:p>
        </w:tc>
      </w:tr>
      <w:tr w14:paraId="57313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8" w:type="dxa"/>
            <w:vMerge w:val="continue"/>
            <w:vAlign w:val="center"/>
          </w:tcPr>
          <w:p w14:paraId="0E746F49">
            <w:pPr>
              <w:widowControl/>
              <w:spacing w:line="240" w:lineRule="auto"/>
              <w:ind w:firstLine="0" w:firstLineChars="0"/>
              <w:jc w:val="center"/>
              <w:rPr>
                <w:color w:val="FF0000"/>
                <w:sz w:val="21"/>
                <w:szCs w:val="21"/>
                <w:highlight w:val="yellow"/>
              </w:rPr>
            </w:pPr>
          </w:p>
        </w:tc>
        <w:tc>
          <w:tcPr>
            <w:tcW w:w="2629" w:type="dxa"/>
            <w:vAlign w:val="center"/>
          </w:tcPr>
          <w:p w14:paraId="3A48EE37">
            <w:pPr>
              <w:widowControl/>
              <w:spacing w:line="240" w:lineRule="auto"/>
              <w:ind w:firstLine="0" w:firstLineChars="0"/>
              <w:jc w:val="center"/>
              <w:rPr>
                <w:color w:val="FF0000"/>
                <w:sz w:val="21"/>
                <w:szCs w:val="21"/>
                <w:highlight w:val="yellow"/>
              </w:rPr>
            </w:pPr>
            <w:r>
              <w:rPr>
                <w:rFonts w:hint="eastAsia"/>
                <w:color w:val="FF0000"/>
                <w:sz w:val="21"/>
                <w:szCs w:val="21"/>
                <w:highlight w:val="yellow"/>
              </w:rPr>
              <w:t>砷化物</w:t>
            </w:r>
          </w:p>
        </w:tc>
        <w:tc>
          <w:tcPr>
            <w:tcW w:w="3499" w:type="dxa"/>
            <w:vAlign w:val="center"/>
          </w:tcPr>
          <w:p w14:paraId="37DF6196">
            <w:pPr>
              <w:widowControl/>
              <w:spacing w:line="240" w:lineRule="auto"/>
              <w:ind w:firstLine="0" w:firstLineChars="0"/>
              <w:rPr>
                <w:color w:val="FF0000"/>
                <w:sz w:val="21"/>
                <w:szCs w:val="21"/>
                <w:highlight w:val="yellow"/>
              </w:rPr>
            </w:pPr>
            <w:r>
              <w:rPr>
                <w:rFonts w:hint="eastAsia"/>
                <w:color w:val="FF0000"/>
                <w:sz w:val="21"/>
                <w:szCs w:val="21"/>
                <w:highlight w:val="yellow"/>
              </w:rPr>
              <w:t>FeCl</w:t>
            </w:r>
            <w:r>
              <w:rPr>
                <w:color w:val="FF0000"/>
                <w:sz w:val="21"/>
                <w:szCs w:val="21"/>
                <w:highlight w:val="yellow"/>
                <w:vertAlign w:val="subscript"/>
              </w:rPr>
              <w:t>3</w:t>
            </w:r>
            <w:r>
              <w:rPr>
                <w:rFonts w:hint="eastAsia"/>
                <w:color w:val="FF0000"/>
                <w:sz w:val="21"/>
                <w:szCs w:val="21"/>
                <w:highlight w:val="yellow"/>
              </w:rPr>
              <w:t>二级或三级沉淀</w:t>
            </w:r>
          </w:p>
        </w:tc>
      </w:tr>
    </w:tbl>
    <w:p w14:paraId="0D66465F">
      <w:pPr>
        <w:widowControl/>
        <w:spacing w:line="240" w:lineRule="auto"/>
        <w:ind w:firstLine="420"/>
        <w:jc w:val="left"/>
        <w:rPr>
          <w:color w:val="000000" w:themeColor="text1"/>
          <w:sz w:val="21"/>
          <w:szCs w:val="21"/>
          <w14:textFill>
            <w14:solidFill>
              <w14:schemeClr w14:val="tx1"/>
            </w14:solidFill>
          </w14:textFill>
        </w:rPr>
      </w:pPr>
    </w:p>
    <w:p w14:paraId="1E235E65">
      <w:pPr>
        <w:widowControl/>
        <w:spacing w:line="240" w:lineRule="auto"/>
        <w:ind w:firstLine="420"/>
        <w:jc w:val="left"/>
        <w:rPr>
          <w:color w:val="000000" w:themeColor="text1"/>
          <w:sz w:val="21"/>
          <w:szCs w:val="21"/>
          <w14:textFill>
            <w14:solidFill>
              <w14:schemeClr w14:val="tx1"/>
            </w14:solidFill>
          </w14:textFill>
        </w:rPr>
      </w:pPr>
    </w:p>
    <w:p w14:paraId="0D0A00DD">
      <w:pP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br w:type="page"/>
      </w:r>
    </w:p>
    <w:p w14:paraId="50991B50">
      <w:pPr>
        <w:widowControl/>
        <w:spacing w:line="240" w:lineRule="auto"/>
        <w:ind w:firstLine="422"/>
        <w:jc w:val="center"/>
        <w:rPr>
          <w:b/>
          <w:color w:val="000000" w:themeColor="text1"/>
          <w:sz w:val="21"/>
          <w:szCs w:val="21"/>
          <w14:textFill>
            <w14:solidFill>
              <w14:schemeClr w14:val="tx1"/>
            </w14:solidFill>
          </w14:textFill>
        </w:rPr>
      </w:pPr>
      <w:r>
        <w:rPr>
          <w:rFonts w:hint="eastAsia"/>
          <w:b/>
          <w:color w:val="FF0000"/>
          <w:sz w:val="21"/>
          <w:szCs w:val="21"/>
        </w:rPr>
        <w:t>表</w:t>
      </w:r>
      <w:r>
        <w:rPr>
          <w:b/>
          <w:color w:val="FF0000"/>
          <w:sz w:val="21"/>
          <w:szCs w:val="21"/>
        </w:rPr>
        <w:t>A.</w:t>
      </w:r>
      <w:r>
        <w:rPr>
          <w:rFonts w:hint="eastAsia"/>
          <w:b/>
          <w:color w:val="FF0000"/>
          <w:sz w:val="21"/>
          <w:szCs w:val="21"/>
          <w:lang w:val="en-US" w:eastAsia="zh-CN"/>
        </w:rPr>
        <w:t>9</w:t>
      </w:r>
      <w:r>
        <w:rPr>
          <w:b/>
          <w:color w:val="000000" w:themeColor="text1"/>
          <w:sz w:val="21"/>
          <w:szCs w:val="21"/>
          <w14:textFill>
            <w14:solidFill>
              <w14:schemeClr w14:val="tx1"/>
            </w14:solidFill>
          </w14:textFill>
        </w:rPr>
        <w:t xml:space="preserve"> </w:t>
      </w:r>
      <w:r>
        <w:rPr>
          <w:rFonts w:hint="eastAsia"/>
          <w:b/>
          <w:color w:val="000000" w:themeColor="text1"/>
          <w:sz w:val="21"/>
          <w:szCs w:val="21"/>
          <w14:textFill>
            <w14:solidFill>
              <w14:schemeClr w14:val="tx1"/>
            </w14:solidFill>
          </w14:textFill>
        </w:rPr>
        <w:t>汽车制造业废水污染防治可行技术参照表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6"/>
        <w:gridCol w:w="2896"/>
        <w:gridCol w:w="3084"/>
      </w:tblGrid>
      <w:tr w14:paraId="5CE4B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16" w:type="dxa"/>
            <w:vAlign w:val="center"/>
          </w:tcPr>
          <w:p w14:paraId="3E2D6FC7">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水类型</w:t>
            </w:r>
          </w:p>
        </w:tc>
        <w:tc>
          <w:tcPr>
            <w:tcW w:w="2896" w:type="dxa"/>
            <w:vAlign w:val="center"/>
          </w:tcPr>
          <w:p w14:paraId="74BAC1CD">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污染物类型</w:t>
            </w:r>
          </w:p>
        </w:tc>
        <w:tc>
          <w:tcPr>
            <w:tcW w:w="3084" w:type="dxa"/>
            <w:vAlign w:val="center"/>
          </w:tcPr>
          <w:p w14:paraId="5705D179">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污染治理工艺</w:t>
            </w:r>
          </w:p>
        </w:tc>
      </w:tr>
      <w:tr w14:paraId="36721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14:paraId="21E5A2FC">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转化膜处理生产单元含镍废水</w:t>
            </w:r>
          </w:p>
        </w:tc>
        <w:tc>
          <w:tcPr>
            <w:tcW w:w="2896" w:type="dxa"/>
            <w:vAlign w:val="center"/>
          </w:tcPr>
          <w:p w14:paraId="444F9266">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总镍</w:t>
            </w:r>
          </w:p>
        </w:tc>
        <w:tc>
          <w:tcPr>
            <w:tcW w:w="3084" w:type="dxa"/>
            <w:vAlign w:val="center"/>
          </w:tcPr>
          <w:p w14:paraId="6025D773">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水量调节、pH调节、混凝、沉淀/硫化物沉淀重金属捕集、过滤/精密过滤吸附/离子交换、pH反调、蒸发</w:t>
            </w:r>
          </w:p>
        </w:tc>
      </w:tr>
      <w:tr w14:paraId="2D4F6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14:paraId="75919A3F">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转化膜处理生产单元含铬废水</w:t>
            </w:r>
          </w:p>
        </w:tc>
        <w:tc>
          <w:tcPr>
            <w:tcW w:w="2896" w:type="dxa"/>
            <w:vAlign w:val="center"/>
          </w:tcPr>
          <w:p w14:paraId="678BFF88">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六价铬、总铬</w:t>
            </w:r>
          </w:p>
        </w:tc>
        <w:tc>
          <w:tcPr>
            <w:tcW w:w="3084" w:type="dxa"/>
            <w:vAlign w:val="center"/>
          </w:tcPr>
          <w:p w14:paraId="5781660E">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水量调节、氧化还原、pH调节、混凝、沉淀/硫化物沉淀/重金属捕集、过滤/精密过滤、吸附/离子交换、pH反调、蒸发</w:t>
            </w:r>
          </w:p>
        </w:tc>
      </w:tr>
      <w:tr w14:paraId="220D8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14:paraId="14119815">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涂装车间其他生产废水</w:t>
            </w:r>
          </w:p>
        </w:tc>
        <w:tc>
          <w:tcPr>
            <w:tcW w:w="2896" w:type="dxa"/>
            <w:vAlign w:val="center"/>
          </w:tcPr>
          <w:p w14:paraId="04981D40">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pH值、化学需氧量、石油类、悬浮物、氟化物ª、阴离子表面活性剂、五日生化需氧量、磷酸盐、氨氮</w:t>
            </w:r>
          </w:p>
        </w:tc>
        <w:tc>
          <w:tcPr>
            <w:tcW w:w="3084" w:type="dxa"/>
            <w:vAlign w:val="center"/>
          </w:tcPr>
          <w:p w14:paraId="1E3BF66F">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调节、混凝、沉淀/气浮、砂滤、活性炭吸附、水解酸化、生化(活性污泥、生物膜、膜分离等)、沉淀、二级生化、气浮、消毒</w:t>
            </w:r>
          </w:p>
        </w:tc>
      </w:tr>
      <w:tr w14:paraId="0947C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14:paraId="629DFA21">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废切削液、废清洗液</w:t>
            </w:r>
          </w:p>
        </w:tc>
        <w:tc>
          <w:tcPr>
            <w:tcW w:w="2896" w:type="dxa"/>
            <w:vAlign w:val="center"/>
          </w:tcPr>
          <w:p w14:paraId="130D5363">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石油类、化学需氧量、悬浮物</w:t>
            </w:r>
          </w:p>
        </w:tc>
        <w:tc>
          <w:tcPr>
            <w:tcW w:w="3084" w:type="dxa"/>
            <w:vAlign w:val="center"/>
          </w:tcPr>
          <w:p w14:paraId="1B1B04C4">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破乳、混凝、气浮、砂滤、吸附、超滤、蒸发</w:t>
            </w:r>
          </w:p>
        </w:tc>
      </w:tr>
      <w:tr w14:paraId="17752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14:paraId="7A92ABDE">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含油废水</w:t>
            </w:r>
          </w:p>
        </w:tc>
        <w:tc>
          <w:tcPr>
            <w:tcW w:w="2896" w:type="dxa"/>
            <w:vAlign w:val="center"/>
          </w:tcPr>
          <w:p w14:paraId="1D6BE174">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石油类、化学需氧量、悬浮物</w:t>
            </w:r>
          </w:p>
        </w:tc>
        <w:tc>
          <w:tcPr>
            <w:tcW w:w="3084" w:type="dxa"/>
            <w:vAlign w:val="center"/>
          </w:tcPr>
          <w:p w14:paraId="1669C78F">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破乳、混凝、气浮、砂滤、吸附</w:t>
            </w:r>
          </w:p>
        </w:tc>
      </w:tr>
      <w:tr w14:paraId="65E63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14:paraId="272C96AD">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酸碱废水</w:t>
            </w:r>
          </w:p>
        </w:tc>
        <w:tc>
          <w:tcPr>
            <w:tcW w:w="2896" w:type="dxa"/>
            <w:vAlign w:val="center"/>
          </w:tcPr>
          <w:p w14:paraId="7EFFE9C2">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酸、碱</w:t>
            </w:r>
          </w:p>
        </w:tc>
        <w:tc>
          <w:tcPr>
            <w:tcW w:w="3084" w:type="dxa"/>
            <w:vAlign w:val="center"/>
          </w:tcPr>
          <w:p w14:paraId="5E370883">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中和</w:t>
            </w:r>
          </w:p>
        </w:tc>
      </w:tr>
      <w:tr w14:paraId="09542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6" w:type="dxa"/>
            <w:vAlign w:val="center"/>
          </w:tcPr>
          <w:p w14:paraId="0BDBB8CC">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全厂生产废水处理设施</w:t>
            </w:r>
          </w:p>
        </w:tc>
        <w:tc>
          <w:tcPr>
            <w:tcW w:w="2896" w:type="dxa"/>
            <w:vAlign w:val="center"/>
          </w:tcPr>
          <w:p w14:paraId="639A3E0A">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石油类、动植物油、化学需氧量、五日生化需氧量、悬浮物、氨氮、磷酸盐</w:t>
            </w:r>
          </w:p>
        </w:tc>
        <w:tc>
          <w:tcPr>
            <w:tcW w:w="3084" w:type="dxa"/>
            <w:vAlign w:val="center"/>
          </w:tcPr>
          <w:p w14:paraId="3A1B2524">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格栅、调节、混凝、水解酸化、生化、沉淀二级生化、砂滤、消毒、反渗透、浓缩蒸发</w:t>
            </w:r>
          </w:p>
        </w:tc>
      </w:tr>
      <w:tr w14:paraId="5A327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3"/>
            <w:vAlign w:val="center"/>
          </w:tcPr>
          <w:p w14:paraId="2A955A68">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a仅适用转化膜处理为锆化工艺或硅烷工艺才有的污染物项目。</w:t>
            </w:r>
          </w:p>
        </w:tc>
      </w:tr>
    </w:tbl>
    <w:p w14:paraId="1FC81CF0">
      <w:pPr>
        <w:widowControl/>
        <w:spacing w:line="240" w:lineRule="auto"/>
        <w:ind w:firstLine="420"/>
        <w:jc w:val="left"/>
        <w:rPr>
          <w:color w:val="000000" w:themeColor="text1"/>
          <w:sz w:val="21"/>
          <w:szCs w:val="21"/>
          <w14:textFill>
            <w14:solidFill>
              <w14:schemeClr w14:val="tx1"/>
            </w14:solidFill>
          </w14:textFill>
        </w:rPr>
      </w:pPr>
    </w:p>
    <w:p w14:paraId="05BC0030">
      <w:pPr>
        <w:widowControl/>
        <w:spacing w:line="240" w:lineRule="auto"/>
        <w:ind w:firstLine="0" w:firstLineChars="0"/>
        <w:jc w:val="left"/>
        <w:rPr>
          <w:color w:val="000000" w:themeColor="text1"/>
          <w:sz w:val="21"/>
          <w:szCs w:val="21"/>
          <w14:textFill>
            <w14:solidFill>
              <w14:schemeClr w14:val="tx1"/>
            </w14:solidFill>
          </w14:textFill>
        </w:rPr>
        <w:sectPr>
          <w:headerReference r:id="rId20" w:type="first"/>
          <w:footerReference r:id="rId23" w:type="first"/>
          <w:headerReference r:id="rId18" w:type="default"/>
          <w:footerReference r:id="rId21" w:type="default"/>
          <w:headerReference r:id="rId19" w:type="even"/>
          <w:footerReference r:id="rId22" w:type="even"/>
          <w:pgSz w:w="11906" w:h="16838"/>
          <w:pgMar w:top="567" w:right="1134" w:bottom="1134" w:left="1134" w:header="851" w:footer="567" w:gutter="284"/>
          <w:pgNumType w:start="1"/>
          <w:cols w:space="425" w:num="1"/>
          <w:docGrid w:type="lines" w:linePitch="326" w:charSpace="0"/>
        </w:sectPr>
      </w:pPr>
      <w:r>
        <w:rPr>
          <w:color w:val="000000" w:themeColor="text1"/>
          <w:sz w:val="21"/>
          <w:szCs w:val="21"/>
          <w14:textFill>
            <w14:solidFill>
              <w14:schemeClr w14:val="tx1"/>
            </w14:solidFill>
          </w14:textFill>
        </w:rPr>
        <w:br w:type="page"/>
      </w:r>
    </w:p>
    <w:p w14:paraId="4CAB71E1">
      <w:pPr>
        <w:widowControl/>
        <w:spacing w:line="240" w:lineRule="auto"/>
        <w:ind w:firstLine="422"/>
        <w:jc w:val="center"/>
        <w:rPr>
          <w:b/>
          <w:color w:val="000000" w:themeColor="text1"/>
          <w:sz w:val="21"/>
          <w:szCs w:val="21"/>
          <w14:textFill>
            <w14:solidFill>
              <w14:schemeClr w14:val="tx1"/>
            </w14:solidFill>
          </w14:textFill>
        </w:rPr>
      </w:pPr>
      <w:r>
        <w:rPr>
          <w:rFonts w:hint="eastAsia"/>
          <w:b/>
          <w:color w:val="FF0000"/>
          <w:sz w:val="21"/>
          <w:szCs w:val="21"/>
        </w:rPr>
        <w:t>表</w:t>
      </w:r>
      <w:r>
        <w:rPr>
          <w:b/>
          <w:color w:val="FF0000"/>
          <w:sz w:val="21"/>
          <w:szCs w:val="21"/>
        </w:rPr>
        <w:t>A.</w:t>
      </w:r>
      <w:r>
        <w:rPr>
          <w:rFonts w:hint="eastAsia"/>
          <w:b/>
          <w:color w:val="FF0000"/>
          <w:sz w:val="21"/>
          <w:szCs w:val="21"/>
          <w:lang w:val="en-US" w:eastAsia="zh-CN"/>
        </w:rPr>
        <w:t>10</w:t>
      </w:r>
      <w:r>
        <w:rPr>
          <w:b/>
          <w:color w:val="000000" w:themeColor="text1"/>
          <w:sz w:val="21"/>
          <w:szCs w:val="21"/>
          <w14:textFill>
            <w14:solidFill>
              <w14:schemeClr w14:val="tx1"/>
            </w14:solidFill>
          </w14:textFill>
        </w:rPr>
        <w:t xml:space="preserve"> </w:t>
      </w:r>
      <w:r>
        <w:rPr>
          <w:rFonts w:hint="eastAsia"/>
          <w:b/>
          <w:color w:val="000000" w:themeColor="text1"/>
          <w:sz w:val="21"/>
          <w:szCs w:val="21"/>
          <w14:textFill>
            <w14:solidFill>
              <w14:schemeClr w14:val="tx1"/>
            </w14:solidFill>
          </w14:textFill>
        </w:rPr>
        <w:t>农副食品加工工业—屠宰及肉类加工工业废水污染防治可行技术参照表</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9"/>
        <w:gridCol w:w="1874"/>
        <w:gridCol w:w="754"/>
        <w:gridCol w:w="975"/>
        <w:gridCol w:w="1296"/>
        <w:gridCol w:w="6976"/>
      </w:tblGrid>
      <w:tr w14:paraId="48E27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1" w:type="pct"/>
            <w:vAlign w:val="center"/>
          </w:tcPr>
          <w:p w14:paraId="0188D759">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废水类别</w:t>
            </w:r>
          </w:p>
        </w:tc>
        <w:tc>
          <w:tcPr>
            <w:tcW w:w="661" w:type="pct"/>
            <w:vAlign w:val="center"/>
          </w:tcPr>
          <w:p w14:paraId="7CE9B83E">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污染控制指标</w:t>
            </w:r>
          </w:p>
        </w:tc>
        <w:tc>
          <w:tcPr>
            <w:tcW w:w="266" w:type="pct"/>
            <w:vAlign w:val="center"/>
          </w:tcPr>
          <w:p w14:paraId="19F000CC">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排放</w:t>
            </w:r>
          </w:p>
          <w:p w14:paraId="0B6C8C41">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方式</w:t>
            </w:r>
          </w:p>
        </w:tc>
        <w:tc>
          <w:tcPr>
            <w:tcW w:w="344" w:type="pct"/>
            <w:vAlign w:val="center"/>
          </w:tcPr>
          <w:p w14:paraId="5C8C4FC2">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排放监控位置</w:t>
            </w:r>
          </w:p>
        </w:tc>
        <w:tc>
          <w:tcPr>
            <w:tcW w:w="457" w:type="pct"/>
            <w:vAlign w:val="center"/>
          </w:tcPr>
          <w:p w14:paraId="2F482EC6">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执行排放</w:t>
            </w:r>
          </w:p>
          <w:p w14:paraId="738A6BB5">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标准</w:t>
            </w:r>
          </w:p>
        </w:tc>
        <w:tc>
          <w:tcPr>
            <w:tcW w:w="2461" w:type="pct"/>
            <w:vAlign w:val="center"/>
          </w:tcPr>
          <w:p w14:paraId="04019F67">
            <w:pPr>
              <w:widowControl/>
              <w:spacing w:line="240" w:lineRule="auto"/>
              <w:ind w:firstLine="0" w:firstLineChars="0"/>
              <w:jc w:val="center"/>
              <w:rPr>
                <w:b/>
                <w:color w:val="000000" w:themeColor="text1"/>
                <w:sz w:val="21"/>
                <w:szCs w:val="21"/>
                <w14:textFill>
                  <w14:solidFill>
                    <w14:schemeClr w14:val="tx1"/>
                  </w14:solidFill>
                </w14:textFill>
              </w:rPr>
            </w:pPr>
            <w:r>
              <w:rPr>
                <w:rFonts w:hint="eastAsia"/>
                <w:b/>
                <w:color w:val="000000" w:themeColor="text1"/>
                <w:sz w:val="21"/>
                <w:szCs w:val="21"/>
                <w14:textFill>
                  <w14:solidFill>
                    <w14:schemeClr w14:val="tx1"/>
                  </w14:solidFill>
                </w14:textFill>
              </w:rPr>
              <w:t>可行技术</w:t>
            </w:r>
            <w:r>
              <w:rPr>
                <w:rFonts w:hint="eastAsia"/>
                <w:b/>
                <w:color w:val="000000" w:themeColor="text1"/>
                <w:sz w:val="21"/>
                <w:szCs w:val="21"/>
                <w:vertAlign w:val="superscript"/>
                <w14:textFill>
                  <w14:solidFill>
                    <w14:schemeClr w14:val="tx1"/>
                  </w14:solidFill>
                </w14:textFill>
              </w:rPr>
              <w:t>a</w:t>
            </w:r>
          </w:p>
        </w:tc>
      </w:tr>
      <w:tr w14:paraId="41EDC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pct"/>
            <w:vAlign w:val="center"/>
          </w:tcPr>
          <w:p w14:paraId="27D09BCE">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生活污水</w:t>
            </w:r>
          </w:p>
        </w:tc>
        <w:tc>
          <w:tcPr>
            <w:tcW w:w="661" w:type="pct"/>
            <w:vAlign w:val="center"/>
          </w:tcPr>
          <w:p w14:paraId="64B89E22">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pH值、化学需氧量、五日生化需氧量、悬浮物、氨氮、动植物油、磷酸盐</w:t>
            </w:r>
          </w:p>
        </w:tc>
        <w:tc>
          <w:tcPr>
            <w:tcW w:w="266" w:type="pct"/>
            <w:vAlign w:val="center"/>
          </w:tcPr>
          <w:p w14:paraId="7DA2BEDF">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直接排放</w:t>
            </w:r>
            <w:r>
              <w:rPr>
                <w:rFonts w:hint="eastAsia"/>
                <w:color w:val="000000" w:themeColor="text1"/>
                <w:sz w:val="21"/>
                <w:szCs w:val="21"/>
                <w:vertAlign w:val="superscript"/>
                <w14:textFill>
                  <w14:solidFill>
                    <w14:schemeClr w14:val="tx1"/>
                  </w14:solidFill>
                </w14:textFill>
              </w:rPr>
              <w:t>b</w:t>
            </w:r>
          </w:p>
        </w:tc>
        <w:tc>
          <w:tcPr>
            <w:tcW w:w="344" w:type="pct"/>
            <w:vAlign w:val="center"/>
          </w:tcPr>
          <w:p w14:paraId="55E24DC0">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生活污水排放口</w:t>
            </w:r>
          </w:p>
        </w:tc>
        <w:tc>
          <w:tcPr>
            <w:tcW w:w="457" w:type="pct"/>
            <w:vAlign w:val="center"/>
          </w:tcPr>
          <w:p w14:paraId="0FD009B0">
            <w:pPr>
              <w:widowControl/>
              <w:spacing w:line="240"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GB 8978</w:t>
            </w:r>
          </w:p>
        </w:tc>
        <w:tc>
          <w:tcPr>
            <w:tcW w:w="2461" w:type="pct"/>
            <w:vAlign w:val="center"/>
          </w:tcPr>
          <w:p w14:paraId="6FBEB1A5">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1)预处理:粗(细)格栅；沉淀或过滤。</w:t>
            </w:r>
          </w:p>
          <w:p w14:paraId="0D63855C">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2)生化法处理:各种形式的活性污泥法；膜生物反应器(MBR)法。</w:t>
            </w:r>
          </w:p>
          <w:p w14:paraId="3CD712DF">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3)除磷处理:化学除磷(注明混凝剂)；生物除磷；生物与化学组合除磷。</w:t>
            </w:r>
          </w:p>
        </w:tc>
      </w:tr>
      <w:tr w14:paraId="111C7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pct"/>
            <w:vMerge w:val="restart"/>
            <w:vAlign w:val="center"/>
          </w:tcPr>
          <w:p w14:paraId="7451E28F">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厂内综合污水处理站的综合污水、专门处理屠宰及肉类加工废水的集中式污水处理厂综合污水(天然肠衣加工生产废水、畜禽油脂加工废水生产废水、生活污水、径流污染等)</w:t>
            </w:r>
          </w:p>
        </w:tc>
        <w:tc>
          <w:tcPr>
            <w:tcW w:w="661" w:type="pct"/>
            <w:vMerge w:val="restart"/>
            <w:vAlign w:val="center"/>
          </w:tcPr>
          <w:p w14:paraId="66208095">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pH值、化学需氧量、五日生化需氧量、悬浮物、氨氮、动植物油、磷酸盐</w:t>
            </w:r>
          </w:p>
        </w:tc>
        <w:tc>
          <w:tcPr>
            <w:tcW w:w="266" w:type="pct"/>
            <w:vAlign w:val="center"/>
          </w:tcPr>
          <w:p w14:paraId="1E895D5B">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直接排放</w:t>
            </w:r>
            <w:r>
              <w:rPr>
                <w:rFonts w:hint="eastAsia"/>
                <w:color w:val="000000" w:themeColor="text1"/>
                <w:sz w:val="21"/>
                <w:szCs w:val="21"/>
                <w:vertAlign w:val="superscript"/>
                <w14:textFill>
                  <w14:solidFill>
                    <w14:schemeClr w14:val="tx1"/>
                  </w14:solidFill>
                </w14:textFill>
              </w:rPr>
              <w:t>b</w:t>
            </w:r>
          </w:p>
        </w:tc>
        <w:tc>
          <w:tcPr>
            <w:tcW w:w="344" w:type="pct"/>
            <w:vMerge w:val="restart"/>
            <w:vAlign w:val="center"/>
          </w:tcPr>
          <w:p w14:paraId="2E313E37">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废水总排放口</w:t>
            </w:r>
          </w:p>
        </w:tc>
        <w:tc>
          <w:tcPr>
            <w:tcW w:w="457" w:type="pct"/>
            <w:vMerge w:val="restart"/>
            <w:vAlign w:val="center"/>
          </w:tcPr>
          <w:p w14:paraId="5B9BBCE1">
            <w:pPr>
              <w:widowControl/>
              <w:spacing w:line="240"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GB 8978</w:t>
            </w:r>
          </w:p>
        </w:tc>
        <w:tc>
          <w:tcPr>
            <w:tcW w:w="2461" w:type="pct"/>
            <w:vAlign w:val="center"/>
          </w:tcPr>
          <w:p w14:paraId="170C6015">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1)预处理:粗(细)格栅:平流或旋流式沉砂、竖流或辐流式沉淀、混凝沉淀；斜板或平流式隔油池；气浮。</w:t>
            </w:r>
          </w:p>
          <w:p w14:paraId="5D533588">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2)生化法处理:</w:t>
            </w:r>
          </w:p>
          <w:p w14:paraId="01DF1A93">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升流式厌氧污泥床(UASB):IC反应器或水解酸化技术；活性污泥法、氧化沟法及其各类改良型工艺；生物接触氧化法；序批式活性污泥法(SBR)；缺氧好氧活性污泥法(AO法)；厌氧-缺氧-好氧活性污泥法(A</w:t>
            </w:r>
            <w:r>
              <w:rPr>
                <w:rFonts w:hint="eastAsia"/>
                <w:color w:val="000000" w:themeColor="text1"/>
                <w:sz w:val="21"/>
                <w:szCs w:val="21"/>
                <w:vertAlign w:val="superscript"/>
                <w14:textFill>
                  <w14:solidFill>
                    <w14:schemeClr w14:val="tx1"/>
                  </w14:solidFill>
                </w14:textFill>
              </w:rPr>
              <w:t>2</w:t>
            </w:r>
            <w:r>
              <w:rPr>
                <w:rFonts w:hint="eastAsia"/>
                <w:color w:val="000000" w:themeColor="text1"/>
                <w:sz w:val="21"/>
                <w:szCs w:val="21"/>
                <w14:textFill>
                  <w14:solidFill>
                    <w14:schemeClr w14:val="tx1"/>
                  </w14:solidFill>
                </w14:textFill>
              </w:rPr>
              <w:t>/0法)；膜生物反应器(MBR)法。</w:t>
            </w:r>
          </w:p>
          <w:p w14:paraId="4A9BBD11">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3)除磷处理:化学除磷(注明混凝剂)；生物除磷；生物与化学组合除磷。</w:t>
            </w:r>
          </w:p>
        </w:tc>
      </w:tr>
      <w:tr w14:paraId="30D64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pct"/>
            <w:vMerge w:val="continue"/>
            <w:vAlign w:val="center"/>
          </w:tcPr>
          <w:p w14:paraId="17C88566">
            <w:pPr>
              <w:widowControl/>
              <w:spacing w:line="240" w:lineRule="auto"/>
              <w:ind w:firstLine="0" w:firstLineChars="0"/>
              <w:jc w:val="center"/>
              <w:rPr>
                <w:color w:val="000000" w:themeColor="text1"/>
                <w:sz w:val="21"/>
                <w:szCs w:val="21"/>
                <w14:textFill>
                  <w14:solidFill>
                    <w14:schemeClr w14:val="tx1"/>
                  </w14:solidFill>
                </w14:textFill>
              </w:rPr>
            </w:pPr>
          </w:p>
        </w:tc>
        <w:tc>
          <w:tcPr>
            <w:tcW w:w="661" w:type="pct"/>
            <w:vMerge w:val="continue"/>
            <w:vAlign w:val="center"/>
          </w:tcPr>
          <w:p w14:paraId="40C91112">
            <w:pPr>
              <w:widowControl/>
              <w:spacing w:line="240" w:lineRule="auto"/>
              <w:ind w:firstLine="0" w:firstLineChars="0"/>
              <w:rPr>
                <w:color w:val="000000" w:themeColor="text1"/>
                <w:sz w:val="21"/>
                <w:szCs w:val="21"/>
                <w14:textFill>
                  <w14:solidFill>
                    <w14:schemeClr w14:val="tx1"/>
                  </w14:solidFill>
                </w14:textFill>
              </w:rPr>
            </w:pPr>
          </w:p>
        </w:tc>
        <w:tc>
          <w:tcPr>
            <w:tcW w:w="266" w:type="pct"/>
            <w:vAlign w:val="center"/>
          </w:tcPr>
          <w:p w14:paraId="5D800B60">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间接排放</w:t>
            </w:r>
            <w:r>
              <w:rPr>
                <w:color w:val="000000" w:themeColor="text1"/>
                <w:sz w:val="21"/>
                <w:szCs w:val="21"/>
                <w:vertAlign w:val="superscript"/>
                <w14:textFill>
                  <w14:solidFill>
                    <w14:schemeClr w14:val="tx1"/>
                  </w14:solidFill>
                </w14:textFill>
              </w:rPr>
              <w:t>c</w:t>
            </w:r>
          </w:p>
        </w:tc>
        <w:tc>
          <w:tcPr>
            <w:tcW w:w="344" w:type="pct"/>
            <w:vMerge w:val="continue"/>
            <w:vAlign w:val="center"/>
          </w:tcPr>
          <w:p w14:paraId="79FDC0C3">
            <w:pPr>
              <w:widowControl/>
              <w:spacing w:line="240" w:lineRule="auto"/>
              <w:ind w:firstLine="0" w:firstLineChars="0"/>
              <w:jc w:val="center"/>
              <w:rPr>
                <w:color w:val="000000" w:themeColor="text1"/>
                <w:sz w:val="21"/>
                <w:szCs w:val="21"/>
                <w14:textFill>
                  <w14:solidFill>
                    <w14:schemeClr w14:val="tx1"/>
                  </w14:solidFill>
                </w14:textFill>
              </w:rPr>
            </w:pPr>
          </w:p>
        </w:tc>
        <w:tc>
          <w:tcPr>
            <w:tcW w:w="457" w:type="pct"/>
            <w:vMerge w:val="continue"/>
            <w:vAlign w:val="center"/>
          </w:tcPr>
          <w:p w14:paraId="745FF330">
            <w:pPr>
              <w:widowControl/>
              <w:spacing w:line="240" w:lineRule="auto"/>
              <w:ind w:firstLine="0" w:firstLineChars="0"/>
              <w:jc w:val="center"/>
              <w:rPr>
                <w:color w:val="000000" w:themeColor="text1"/>
                <w:sz w:val="21"/>
                <w:szCs w:val="21"/>
                <w14:textFill>
                  <w14:solidFill>
                    <w14:schemeClr w14:val="tx1"/>
                  </w14:solidFill>
                </w14:textFill>
              </w:rPr>
            </w:pPr>
          </w:p>
        </w:tc>
        <w:tc>
          <w:tcPr>
            <w:tcW w:w="2461" w:type="pct"/>
            <w:vAlign w:val="center"/>
          </w:tcPr>
          <w:p w14:paraId="064C7F1E">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1)预处理:粗(细)格栅；平流或旋流式沉砂、竖流或辐流式沉淀、混凝沉淀；斜板或平流式隔油池；气浮。</w:t>
            </w:r>
          </w:p>
          <w:p w14:paraId="3331958E">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2)生化法处理:活性污泥法、氧化沟法及其各类改良型工艺。</w:t>
            </w:r>
          </w:p>
          <w:p w14:paraId="359F7F35">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3)除磷处理:化学除磷(注明混凝剂)；生物除磷；生物与化学组合除磷。</w:t>
            </w:r>
          </w:p>
        </w:tc>
      </w:tr>
    </w:tbl>
    <w:p w14:paraId="68BE1339">
      <w:pPr>
        <w:widowControl/>
        <w:spacing w:line="240" w:lineRule="auto"/>
        <w:ind w:firstLine="420"/>
        <w:jc w:val="left"/>
        <w:rPr>
          <w:color w:val="000000" w:themeColor="text1"/>
          <w:sz w:val="21"/>
          <w:szCs w:val="21"/>
          <w14:textFill>
            <w14:solidFill>
              <w14:schemeClr w14:val="tx1"/>
            </w14:solidFill>
          </w14:textFill>
        </w:rPr>
      </w:pPr>
    </w:p>
    <w:p w14:paraId="26FA60B4">
      <w:pPr>
        <w:widowControl/>
        <w:spacing w:line="240" w:lineRule="auto"/>
        <w:ind w:firstLine="0" w:firstLineChars="0"/>
        <w:jc w:val="left"/>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br w:type="page"/>
      </w:r>
    </w:p>
    <w:p w14:paraId="08ABD8F5">
      <w:pPr>
        <w:widowControl/>
        <w:spacing w:line="240" w:lineRule="auto"/>
        <w:ind w:firstLine="0" w:firstLineChars="0"/>
        <w:jc w:val="righ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续表</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1"/>
        <w:gridCol w:w="448"/>
        <w:gridCol w:w="1874"/>
        <w:gridCol w:w="754"/>
        <w:gridCol w:w="975"/>
        <w:gridCol w:w="2449"/>
        <w:gridCol w:w="5823"/>
      </w:tblGrid>
      <w:tr w14:paraId="51AA5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pct"/>
            <w:vMerge w:val="restart"/>
            <w:vAlign w:val="center"/>
          </w:tcPr>
          <w:p w14:paraId="3B3CA1C3">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厂内综合污水处理站的综合污水、专门处理屠宰及肉类加工废水的集中式污水处理厂综合污水(屠宰及肉制品加工生产废水、生活污水、径流污染等)</w:t>
            </w:r>
          </w:p>
        </w:tc>
        <w:tc>
          <w:tcPr>
            <w:tcW w:w="158" w:type="pct"/>
            <w:vMerge w:val="restart"/>
            <w:vAlign w:val="center"/>
          </w:tcPr>
          <w:p w14:paraId="32DB1574">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含羽绒清洗废水</w:t>
            </w:r>
          </w:p>
        </w:tc>
        <w:tc>
          <w:tcPr>
            <w:tcW w:w="661" w:type="pct"/>
            <w:vMerge w:val="restart"/>
            <w:vAlign w:val="center"/>
          </w:tcPr>
          <w:p w14:paraId="6D35DAD2">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pH值、化学需氧量、五日生化需氧量、悬浮物、氨氮、总氮、总磷、动植物油、大肠菌群数、阴离子表面活性剂</w:t>
            </w:r>
          </w:p>
        </w:tc>
        <w:tc>
          <w:tcPr>
            <w:tcW w:w="266" w:type="pct"/>
            <w:vMerge w:val="restart"/>
            <w:vAlign w:val="center"/>
          </w:tcPr>
          <w:p w14:paraId="18DEECB1">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直接排放</w:t>
            </w:r>
            <w:r>
              <w:rPr>
                <w:rFonts w:hint="eastAsia"/>
                <w:color w:val="000000" w:themeColor="text1"/>
                <w:sz w:val="21"/>
                <w:szCs w:val="21"/>
                <w:vertAlign w:val="superscript"/>
                <w14:textFill>
                  <w14:solidFill>
                    <w14:schemeClr w14:val="tx1"/>
                  </w14:solidFill>
                </w14:textFill>
              </w:rPr>
              <w:t>b</w:t>
            </w:r>
          </w:p>
        </w:tc>
        <w:tc>
          <w:tcPr>
            <w:tcW w:w="344" w:type="pct"/>
            <w:vMerge w:val="restart"/>
            <w:vAlign w:val="center"/>
          </w:tcPr>
          <w:p w14:paraId="2C0A65CC">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废水总排放口</w:t>
            </w:r>
          </w:p>
        </w:tc>
        <w:tc>
          <w:tcPr>
            <w:tcW w:w="864" w:type="pct"/>
            <w:vAlign w:val="center"/>
          </w:tcPr>
          <w:p w14:paraId="11ED506C">
            <w:pPr>
              <w:widowControl/>
              <w:spacing w:line="240" w:lineRule="auto"/>
              <w:ind w:firstLine="0" w:firstLineChars="0"/>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GB13457与GB21901表2从严执行</w:t>
            </w:r>
          </w:p>
        </w:tc>
        <w:tc>
          <w:tcPr>
            <w:tcW w:w="2054" w:type="pct"/>
            <w:vAlign w:val="center"/>
          </w:tcPr>
          <w:p w14:paraId="70619D72">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1)预处理:粗(细)格栅(禽类屠宰需设置专用的细格栅、水力筛或筛网)；平流或旋流式沉砂、竖流或辐流式沉淀、混凝沉淀；斜板或平流式隔油池；气浮。</w:t>
            </w:r>
          </w:p>
          <w:p w14:paraId="722C406C">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2)生化法处理:升流式厌氧污泥床(UASB)；IC反应器或水解酸化技术；活性污泥法；氧化沟及其各类改良型工艺；生物接触氧化法；序批式活性污泥法(SBR)；缺氧/好氧活性污泥法(A0法)；厌氧-缺氧-好氧活性污泥法(A</w:t>
            </w:r>
            <w:r>
              <w:rPr>
                <w:color w:val="000000" w:themeColor="text1"/>
                <w:sz w:val="21"/>
                <w:szCs w:val="21"/>
                <w:vertAlign w:val="superscript"/>
                <w14:textFill>
                  <w14:solidFill>
                    <w14:schemeClr w14:val="tx1"/>
                  </w14:solidFill>
                </w14:textFill>
              </w:rPr>
              <w:t>2</w:t>
            </w:r>
            <w:r>
              <w:rPr>
                <w:color w:val="000000" w:themeColor="text1"/>
                <w:sz w:val="21"/>
                <w:szCs w:val="21"/>
                <w14:textFill>
                  <w14:solidFill>
                    <w14:schemeClr w14:val="tx1"/>
                  </w14:solidFill>
                </w14:textFill>
              </w:rPr>
              <w:t>/</w:t>
            </w:r>
            <w:r>
              <w:rPr>
                <w:rFonts w:hint="eastAsia"/>
                <w:color w:val="000000" w:themeColor="text1"/>
                <w:sz w:val="21"/>
                <w:szCs w:val="21"/>
                <w14:textFill>
                  <w14:solidFill>
                    <w14:schemeClr w14:val="tx1"/>
                  </w14:solidFill>
                </w14:textFill>
              </w:rPr>
              <w:t>0法)；膜生物反应器(MBR)法。</w:t>
            </w:r>
          </w:p>
          <w:p w14:paraId="45B37756">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3)除磷处理:化学除磷、生物除磷、生物与化学组合除磷。</w:t>
            </w:r>
          </w:p>
          <w:p w14:paraId="2E8E0DC5">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4)消毒处理:加氯(二氧化氯或次氯酸钠)消毒；臭氧消毒；紫外消毒。</w:t>
            </w:r>
          </w:p>
        </w:tc>
      </w:tr>
      <w:tr w14:paraId="14D40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pct"/>
            <w:vMerge w:val="continue"/>
            <w:vAlign w:val="center"/>
          </w:tcPr>
          <w:p w14:paraId="63DCFDDB">
            <w:pPr>
              <w:widowControl/>
              <w:spacing w:line="240" w:lineRule="auto"/>
              <w:ind w:firstLine="0" w:firstLineChars="0"/>
              <w:jc w:val="center"/>
              <w:rPr>
                <w:color w:val="000000" w:themeColor="text1"/>
                <w:sz w:val="21"/>
                <w:szCs w:val="21"/>
                <w14:textFill>
                  <w14:solidFill>
                    <w14:schemeClr w14:val="tx1"/>
                  </w14:solidFill>
                </w14:textFill>
              </w:rPr>
            </w:pPr>
          </w:p>
        </w:tc>
        <w:tc>
          <w:tcPr>
            <w:tcW w:w="158" w:type="pct"/>
            <w:vMerge w:val="continue"/>
            <w:vAlign w:val="center"/>
          </w:tcPr>
          <w:p w14:paraId="717ADBCB">
            <w:pPr>
              <w:widowControl/>
              <w:spacing w:line="240" w:lineRule="auto"/>
              <w:ind w:firstLine="0" w:firstLineChars="0"/>
              <w:jc w:val="center"/>
              <w:rPr>
                <w:color w:val="000000" w:themeColor="text1"/>
                <w:sz w:val="21"/>
                <w:szCs w:val="21"/>
                <w14:textFill>
                  <w14:solidFill>
                    <w14:schemeClr w14:val="tx1"/>
                  </w14:solidFill>
                </w14:textFill>
              </w:rPr>
            </w:pPr>
          </w:p>
        </w:tc>
        <w:tc>
          <w:tcPr>
            <w:tcW w:w="661" w:type="pct"/>
            <w:vMerge w:val="continue"/>
            <w:vAlign w:val="center"/>
          </w:tcPr>
          <w:p w14:paraId="2884574A">
            <w:pPr>
              <w:widowControl/>
              <w:spacing w:line="240" w:lineRule="auto"/>
              <w:ind w:firstLine="0" w:firstLineChars="0"/>
              <w:rPr>
                <w:color w:val="000000" w:themeColor="text1"/>
                <w:sz w:val="21"/>
                <w:szCs w:val="21"/>
                <w14:textFill>
                  <w14:solidFill>
                    <w14:schemeClr w14:val="tx1"/>
                  </w14:solidFill>
                </w14:textFill>
              </w:rPr>
            </w:pPr>
          </w:p>
        </w:tc>
        <w:tc>
          <w:tcPr>
            <w:tcW w:w="266" w:type="pct"/>
            <w:vMerge w:val="continue"/>
            <w:vAlign w:val="center"/>
          </w:tcPr>
          <w:p w14:paraId="238FD41C">
            <w:pPr>
              <w:widowControl/>
              <w:spacing w:line="240" w:lineRule="auto"/>
              <w:ind w:firstLine="0" w:firstLineChars="0"/>
              <w:jc w:val="center"/>
              <w:rPr>
                <w:color w:val="000000" w:themeColor="text1"/>
                <w:sz w:val="21"/>
                <w:szCs w:val="21"/>
                <w14:textFill>
                  <w14:solidFill>
                    <w14:schemeClr w14:val="tx1"/>
                  </w14:solidFill>
                </w14:textFill>
              </w:rPr>
            </w:pPr>
          </w:p>
        </w:tc>
        <w:tc>
          <w:tcPr>
            <w:tcW w:w="344" w:type="pct"/>
            <w:vMerge w:val="continue"/>
            <w:vAlign w:val="center"/>
          </w:tcPr>
          <w:p w14:paraId="1B8DA614">
            <w:pPr>
              <w:widowControl/>
              <w:spacing w:line="240" w:lineRule="auto"/>
              <w:ind w:firstLine="0" w:firstLineChars="0"/>
              <w:jc w:val="center"/>
              <w:rPr>
                <w:color w:val="000000" w:themeColor="text1"/>
                <w:sz w:val="21"/>
                <w:szCs w:val="21"/>
                <w14:textFill>
                  <w14:solidFill>
                    <w14:schemeClr w14:val="tx1"/>
                  </w14:solidFill>
                </w14:textFill>
              </w:rPr>
            </w:pPr>
          </w:p>
        </w:tc>
        <w:tc>
          <w:tcPr>
            <w:tcW w:w="864" w:type="pct"/>
            <w:vAlign w:val="center"/>
          </w:tcPr>
          <w:p w14:paraId="12F489B9">
            <w:pPr>
              <w:widowControl/>
              <w:spacing w:line="240" w:lineRule="auto"/>
              <w:ind w:firstLine="0" w:firstLineChars="0"/>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GB13457与GB21901表3从严执行</w:t>
            </w:r>
          </w:p>
        </w:tc>
        <w:tc>
          <w:tcPr>
            <w:tcW w:w="2054" w:type="pct"/>
            <w:vAlign w:val="center"/>
          </w:tcPr>
          <w:p w14:paraId="012AC75C">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除以上1)-4)外，还应采取以下技术措施；5)深度处理:曝气生物滤池(BAF)、V型滤池:臭氧氧化；膜分离技术(超滤、反渗透等)；电析；人工湿地。</w:t>
            </w:r>
          </w:p>
        </w:tc>
      </w:tr>
      <w:tr w14:paraId="564D6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pct"/>
            <w:vMerge w:val="continue"/>
            <w:vAlign w:val="center"/>
          </w:tcPr>
          <w:p w14:paraId="46CFBE0A">
            <w:pPr>
              <w:widowControl/>
              <w:spacing w:line="240" w:lineRule="auto"/>
              <w:ind w:firstLine="0" w:firstLineChars="0"/>
              <w:jc w:val="center"/>
              <w:rPr>
                <w:color w:val="000000" w:themeColor="text1"/>
                <w:sz w:val="21"/>
                <w:szCs w:val="21"/>
                <w14:textFill>
                  <w14:solidFill>
                    <w14:schemeClr w14:val="tx1"/>
                  </w14:solidFill>
                </w14:textFill>
              </w:rPr>
            </w:pPr>
          </w:p>
        </w:tc>
        <w:tc>
          <w:tcPr>
            <w:tcW w:w="158" w:type="pct"/>
            <w:vMerge w:val="continue"/>
            <w:vAlign w:val="center"/>
          </w:tcPr>
          <w:p w14:paraId="363C9FF9">
            <w:pPr>
              <w:widowControl/>
              <w:spacing w:line="240" w:lineRule="auto"/>
              <w:ind w:firstLine="0" w:firstLineChars="0"/>
              <w:jc w:val="center"/>
              <w:rPr>
                <w:color w:val="000000" w:themeColor="text1"/>
                <w:sz w:val="21"/>
                <w:szCs w:val="21"/>
                <w14:textFill>
                  <w14:solidFill>
                    <w14:schemeClr w14:val="tx1"/>
                  </w14:solidFill>
                </w14:textFill>
              </w:rPr>
            </w:pPr>
          </w:p>
        </w:tc>
        <w:tc>
          <w:tcPr>
            <w:tcW w:w="661" w:type="pct"/>
            <w:vMerge w:val="continue"/>
            <w:vAlign w:val="center"/>
          </w:tcPr>
          <w:p w14:paraId="23DFDD2A">
            <w:pPr>
              <w:widowControl/>
              <w:spacing w:line="240" w:lineRule="auto"/>
              <w:ind w:firstLine="0" w:firstLineChars="0"/>
              <w:rPr>
                <w:color w:val="000000" w:themeColor="text1"/>
                <w:sz w:val="21"/>
                <w:szCs w:val="21"/>
                <w14:textFill>
                  <w14:solidFill>
                    <w14:schemeClr w14:val="tx1"/>
                  </w14:solidFill>
                </w14:textFill>
              </w:rPr>
            </w:pPr>
          </w:p>
        </w:tc>
        <w:tc>
          <w:tcPr>
            <w:tcW w:w="266" w:type="pct"/>
            <w:vMerge w:val="restart"/>
            <w:vAlign w:val="center"/>
          </w:tcPr>
          <w:p w14:paraId="73278342">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间接排放</w:t>
            </w:r>
            <w:r>
              <w:rPr>
                <w:color w:val="000000" w:themeColor="text1"/>
                <w:sz w:val="21"/>
                <w:szCs w:val="21"/>
                <w:vertAlign w:val="superscript"/>
                <w14:textFill>
                  <w14:solidFill>
                    <w14:schemeClr w14:val="tx1"/>
                  </w14:solidFill>
                </w14:textFill>
              </w:rPr>
              <w:t>c</w:t>
            </w:r>
          </w:p>
        </w:tc>
        <w:tc>
          <w:tcPr>
            <w:tcW w:w="344" w:type="pct"/>
            <w:vMerge w:val="continue"/>
            <w:vAlign w:val="center"/>
          </w:tcPr>
          <w:p w14:paraId="2A56B151">
            <w:pPr>
              <w:widowControl/>
              <w:spacing w:line="240" w:lineRule="auto"/>
              <w:ind w:firstLine="0" w:firstLineChars="0"/>
              <w:jc w:val="center"/>
              <w:rPr>
                <w:color w:val="000000" w:themeColor="text1"/>
                <w:sz w:val="21"/>
                <w:szCs w:val="21"/>
                <w14:textFill>
                  <w14:solidFill>
                    <w14:schemeClr w14:val="tx1"/>
                  </w14:solidFill>
                </w14:textFill>
              </w:rPr>
            </w:pPr>
          </w:p>
        </w:tc>
        <w:tc>
          <w:tcPr>
            <w:tcW w:w="864" w:type="pct"/>
            <w:vAlign w:val="center"/>
          </w:tcPr>
          <w:p w14:paraId="5D1A9EC9">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排入城镇污水集中处理设施:阴离子表面活性剂按GB 21901相关规定执行；其他污染控制指标执行GB13457的三级限值</w:t>
            </w:r>
          </w:p>
        </w:tc>
        <w:tc>
          <w:tcPr>
            <w:tcW w:w="2054" w:type="pct"/>
            <w:vAlign w:val="center"/>
          </w:tcPr>
          <w:p w14:paraId="4854892F">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排向城镇污水处理厂:1)预处理:粗(细)格栅(禽类屠宰需设置专用的细格栅、水力筛或筛网)；平流或旋流式沉砂、竖流或辐流式沉淀、混凝沉淀；斜板或平流式隔油池；气浮。</w:t>
            </w:r>
          </w:p>
          <w:p w14:paraId="24D41577">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2)生化法处理:升流式厌氧污泥床(UASB)；IC反应器或水解酸化技术；活性污泥法；氧化沟及其各类改良型工艺。</w:t>
            </w:r>
          </w:p>
        </w:tc>
      </w:tr>
      <w:tr w14:paraId="4B07F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pct"/>
            <w:vMerge w:val="continue"/>
            <w:vAlign w:val="center"/>
          </w:tcPr>
          <w:p w14:paraId="4DFFB8FE">
            <w:pPr>
              <w:widowControl/>
              <w:spacing w:line="240" w:lineRule="auto"/>
              <w:ind w:firstLine="0" w:firstLineChars="0"/>
              <w:jc w:val="center"/>
              <w:rPr>
                <w:color w:val="000000" w:themeColor="text1"/>
                <w:sz w:val="21"/>
                <w:szCs w:val="21"/>
                <w14:textFill>
                  <w14:solidFill>
                    <w14:schemeClr w14:val="tx1"/>
                  </w14:solidFill>
                </w14:textFill>
              </w:rPr>
            </w:pPr>
          </w:p>
        </w:tc>
        <w:tc>
          <w:tcPr>
            <w:tcW w:w="158" w:type="pct"/>
            <w:vMerge w:val="continue"/>
            <w:vAlign w:val="center"/>
          </w:tcPr>
          <w:p w14:paraId="55C8E1DC">
            <w:pPr>
              <w:widowControl/>
              <w:spacing w:line="240" w:lineRule="auto"/>
              <w:ind w:firstLine="0" w:firstLineChars="0"/>
              <w:jc w:val="center"/>
              <w:rPr>
                <w:color w:val="000000" w:themeColor="text1"/>
                <w:sz w:val="21"/>
                <w:szCs w:val="21"/>
                <w14:textFill>
                  <w14:solidFill>
                    <w14:schemeClr w14:val="tx1"/>
                  </w14:solidFill>
                </w14:textFill>
              </w:rPr>
            </w:pPr>
          </w:p>
        </w:tc>
        <w:tc>
          <w:tcPr>
            <w:tcW w:w="661" w:type="pct"/>
            <w:vMerge w:val="continue"/>
            <w:vAlign w:val="center"/>
          </w:tcPr>
          <w:p w14:paraId="475C6AD8">
            <w:pPr>
              <w:widowControl/>
              <w:spacing w:line="240" w:lineRule="auto"/>
              <w:ind w:firstLine="0" w:firstLineChars="0"/>
              <w:rPr>
                <w:color w:val="000000" w:themeColor="text1"/>
                <w:sz w:val="21"/>
                <w:szCs w:val="21"/>
                <w14:textFill>
                  <w14:solidFill>
                    <w14:schemeClr w14:val="tx1"/>
                  </w14:solidFill>
                </w14:textFill>
              </w:rPr>
            </w:pPr>
          </w:p>
        </w:tc>
        <w:tc>
          <w:tcPr>
            <w:tcW w:w="266" w:type="pct"/>
            <w:vMerge w:val="continue"/>
            <w:vAlign w:val="center"/>
          </w:tcPr>
          <w:p w14:paraId="45CE4267">
            <w:pPr>
              <w:widowControl/>
              <w:spacing w:line="240" w:lineRule="auto"/>
              <w:ind w:firstLine="0" w:firstLineChars="0"/>
              <w:jc w:val="center"/>
              <w:rPr>
                <w:color w:val="000000" w:themeColor="text1"/>
                <w:sz w:val="21"/>
                <w:szCs w:val="21"/>
                <w14:textFill>
                  <w14:solidFill>
                    <w14:schemeClr w14:val="tx1"/>
                  </w14:solidFill>
                </w14:textFill>
              </w:rPr>
            </w:pPr>
          </w:p>
        </w:tc>
        <w:tc>
          <w:tcPr>
            <w:tcW w:w="344" w:type="pct"/>
            <w:vMerge w:val="continue"/>
            <w:vAlign w:val="center"/>
          </w:tcPr>
          <w:p w14:paraId="0298EEBB">
            <w:pPr>
              <w:widowControl/>
              <w:spacing w:line="240" w:lineRule="auto"/>
              <w:ind w:firstLine="0" w:firstLineChars="0"/>
              <w:jc w:val="center"/>
              <w:rPr>
                <w:color w:val="000000" w:themeColor="text1"/>
                <w:sz w:val="21"/>
                <w:szCs w:val="21"/>
                <w14:textFill>
                  <w14:solidFill>
                    <w14:schemeClr w14:val="tx1"/>
                  </w14:solidFill>
                </w14:textFill>
              </w:rPr>
            </w:pPr>
          </w:p>
        </w:tc>
        <w:tc>
          <w:tcPr>
            <w:tcW w:w="864" w:type="pct"/>
            <w:vAlign w:val="center"/>
          </w:tcPr>
          <w:p w14:paraId="5D0F3F7D">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排入工业废水集中处理设施:执行排污单位与工业废水集中处理设施责任单位的协商值</w:t>
            </w:r>
          </w:p>
        </w:tc>
        <w:tc>
          <w:tcPr>
            <w:tcW w:w="2054" w:type="pct"/>
            <w:vAlign w:val="center"/>
          </w:tcPr>
          <w:p w14:paraId="1A2CF0F8">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w:t>
            </w:r>
          </w:p>
        </w:tc>
      </w:tr>
    </w:tbl>
    <w:p w14:paraId="023272B6">
      <w:pPr>
        <w:widowControl/>
        <w:spacing w:line="240" w:lineRule="auto"/>
        <w:ind w:firstLine="420"/>
        <w:jc w:val="left"/>
        <w:rPr>
          <w:color w:val="000000" w:themeColor="text1"/>
          <w:sz w:val="21"/>
          <w:szCs w:val="21"/>
          <w14:textFill>
            <w14:solidFill>
              <w14:schemeClr w14:val="tx1"/>
            </w14:solidFill>
          </w14:textFill>
        </w:rPr>
      </w:pPr>
    </w:p>
    <w:p w14:paraId="28E172F1">
      <w:pPr>
        <w:widowControl/>
        <w:spacing w:line="240" w:lineRule="auto"/>
        <w:ind w:firstLine="420"/>
        <w:jc w:val="righ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续表</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575"/>
        <w:gridCol w:w="1874"/>
        <w:gridCol w:w="754"/>
        <w:gridCol w:w="975"/>
        <w:gridCol w:w="1296"/>
        <w:gridCol w:w="6976"/>
      </w:tblGrid>
      <w:tr w14:paraId="73B58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pct"/>
            <w:vMerge w:val="restart"/>
            <w:vAlign w:val="center"/>
          </w:tcPr>
          <w:p w14:paraId="4F12983D">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厂内综合污水处理站的综合污水、专门处理屠宰及肉类加工废水的集中式污水处理厂综合污水(屠宰及肉制品加工生产废水、生活污水、径流污染等)</w:t>
            </w:r>
          </w:p>
        </w:tc>
        <w:tc>
          <w:tcPr>
            <w:tcW w:w="203" w:type="pct"/>
            <w:vMerge w:val="restart"/>
            <w:vAlign w:val="center"/>
          </w:tcPr>
          <w:p w14:paraId="011082C1">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不含羽绒清洗废水</w:t>
            </w:r>
          </w:p>
        </w:tc>
        <w:tc>
          <w:tcPr>
            <w:tcW w:w="661" w:type="pct"/>
            <w:vMerge w:val="restart"/>
            <w:vAlign w:val="center"/>
          </w:tcPr>
          <w:p w14:paraId="31E2D6F3">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pH 值、化学需氧量、五日生化需氧量、悬浮物、氨氮、动植物油、大肠菌群数</w:t>
            </w:r>
          </w:p>
        </w:tc>
        <w:tc>
          <w:tcPr>
            <w:tcW w:w="266" w:type="pct"/>
            <w:vMerge w:val="restart"/>
            <w:vAlign w:val="center"/>
          </w:tcPr>
          <w:p w14:paraId="330C80DE">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直接排放</w:t>
            </w:r>
            <w:r>
              <w:rPr>
                <w:rFonts w:hint="eastAsia"/>
                <w:color w:val="000000" w:themeColor="text1"/>
                <w:sz w:val="21"/>
                <w:szCs w:val="21"/>
                <w:vertAlign w:val="superscript"/>
                <w14:textFill>
                  <w14:solidFill>
                    <w14:schemeClr w14:val="tx1"/>
                  </w14:solidFill>
                </w14:textFill>
              </w:rPr>
              <w:t>b</w:t>
            </w:r>
          </w:p>
        </w:tc>
        <w:tc>
          <w:tcPr>
            <w:tcW w:w="344" w:type="pct"/>
            <w:vMerge w:val="restart"/>
            <w:vAlign w:val="center"/>
          </w:tcPr>
          <w:p w14:paraId="1504DF4E">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废水总排放口</w:t>
            </w:r>
          </w:p>
        </w:tc>
        <w:tc>
          <w:tcPr>
            <w:tcW w:w="457" w:type="pct"/>
            <w:vAlign w:val="center"/>
          </w:tcPr>
          <w:p w14:paraId="60AAD604">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GB13457表1二级</w:t>
            </w:r>
          </w:p>
        </w:tc>
        <w:tc>
          <w:tcPr>
            <w:tcW w:w="2461" w:type="pct"/>
            <w:vAlign w:val="center"/>
          </w:tcPr>
          <w:p w14:paraId="1FDAB1A3">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预处理:粗(细)格栅(禽类屠宰需设置专用的细格栅、水力筛或筛网)；平流或旋流式沉砂、竖流或辐流式沉淀、混凝沉淀；斜板或平流式隔油池；气浮。2)生化法处理:升流式厌氧污泥床(UASB)；IC反应器或水解酸化技术；活性污泥法；氧化沟及其各类改良型工艺。3)消毒处理:加氯(二氧化氯或次氯酸钠)消毒；臭氧消毒；紫外消毒。</w:t>
            </w:r>
          </w:p>
        </w:tc>
      </w:tr>
      <w:tr w14:paraId="70C39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pct"/>
            <w:vMerge w:val="continue"/>
            <w:vAlign w:val="center"/>
          </w:tcPr>
          <w:p w14:paraId="4DFC09BE">
            <w:pPr>
              <w:widowControl/>
              <w:spacing w:line="240" w:lineRule="auto"/>
              <w:ind w:firstLine="0" w:firstLineChars="0"/>
              <w:jc w:val="center"/>
              <w:rPr>
                <w:color w:val="000000" w:themeColor="text1"/>
                <w:sz w:val="21"/>
                <w:szCs w:val="21"/>
                <w14:textFill>
                  <w14:solidFill>
                    <w14:schemeClr w14:val="tx1"/>
                  </w14:solidFill>
                </w14:textFill>
              </w:rPr>
            </w:pPr>
          </w:p>
        </w:tc>
        <w:tc>
          <w:tcPr>
            <w:tcW w:w="203" w:type="pct"/>
            <w:vMerge w:val="continue"/>
            <w:vAlign w:val="center"/>
          </w:tcPr>
          <w:p w14:paraId="1F4B68C9">
            <w:pPr>
              <w:widowControl/>
              <w:spacing w:line="240" w:lineRule="auto"/>
              <w:ind w:firstLine="0" w:firstLineChars="0"/>
              <w:jc w:val="center"/>
              <w:rPr>
                <w:color w:val="000000" w:themeColor="text1"/>
                <w:sz w:val="21"/>
                <w:szCs w:val="21"/>
                <w14:textFill>
                  <w14:solidFill>
                    <w14:schemeClr w14:val="tx1"/>
                  </w14:solidFill>
                </w14:textFill>
              </w:rPr>
            </w:pPr>
          </w:p>
        </w:tc>
        <w:tc>
          <w:tcPr>
            <w:tcW w:w="661" w:type="pct"/>
            <w:vMerge w:val="continue"/>
            <w:vAlign w:val="center"/>
          </w:tcPr>
          <w:p w14:paraId="4721798F">
            <w:pPr>
              <w:widowControl/>
              <w:spacing w:line="240" w:lineRule="auto"/>
              <w:ind w:firstLine="0" w:firstLineChars="0"/>
              <w:rPr>
                <w:color w:val="000000" w:themeColor="text1"/>
                <w:sz w:val="21"/>
                <w:szCs w:val="21"/>
                <w14:textFill>
                  <w14:solidFill>
                    <w14:schemeClr w14:val="tx1"/>
                  </w14:solidFill>
                </w14:textFill>
              </w:rPr>
            </w:pPr>
          </w:p>
        </w:tc>
        <w:tc>
          <w:tcPr>
            <w:tcW w:w="266" w:type="pct"/>
            <w:vMerge w:val="continue"/>
            <w:vAlign w:val="center"/>
          </w:tcPr>
          <w:p w14:paraId="2131F93E">
            <w:pPr>
              <w:widowControl/>
              <w:spacing w:line="240" w:lineRule="auto"/>
              <w:ind w:firstLine="0" w:firstLineChars="0"/>
              <w:jc w:val="center"/>
              <w:rPr>
                <w:color w:val="000000" w:themeColor="text1"/>
                <w:sz w:val="21"/>
                <w:szCs w:val="21"/>
                <w14:textFill>
                  <w14:solidFill>
                    <w14:schemeClr w14:val="tx1"/>
                  </w14:solidFill>
                </w14:textFill>
              </w:rPr>
            </w:pPr>
          </w:p>
        </w:tc>
        <w:tc>
          <w:tcPr>
            <w:tcW w:w="344" w:type="pct"/>
            <w:vMerge w:val="continue"/>
            <w:vAlign w:val="center"/>
          </w:tcPr>
          <w:p w14:paraId="2D3ACC05">
            <w:pPr>
              <w:widowControl/>
              <w:spacing w:line="240" w:lineRule="auto"/>
              <w:ind w:firstLine="0" w:firstLineChars="0"/>
              <w:jc w:val="center"/>
              <w:rPr>
                <w:color w:val="000000" w:themeColor="text1"/>
                <w:sz w:val="21"/>
                <w:szCs w:val="21"/>
                <w14:textFill>
                  <w14:solidFill>
                    <w14:schemeClr w14:val="tx1"/>
                  </w14:solidFill>
                </w14:textFill>
              </w:rPr>
            </w:pPr>
          </w:p>
        </w:tc>
        <w:tc>
          <w:tcPr>
            <w:tcW w:w="457" w:type="pct"/>
            <w:vAlign w:val="center"/>
          </w:tcPr>
          <w:p w14:paraId="6159B2F8">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GB13457表1一级和表2二级</w:t>
            </w:r>
          </w:p>
        </w:tc>
        <w:tc>
          <w:tcPr>
            <w:tcW w:w="2461" w:type="pct"/>
            <w:vAlign w:val="center"/>
          </w:tcPr>
          <w:p w14:paraId="2AF1D8C9">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1)预处理:粗(细)格栅(禽类屠宰需设置专用的细格栅、水力或网):平流或旋流式沉砂、竖流或辐流式沉淀、混凝沉淀;斜板或平流式隔油池;气浮。</w:t>
            </w:r>
          </w:p>
          <w:p w14:paraId="33649813">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2)生化法处理:升流式厌氧污泥床(UASB);IC反应器或水解酸化技术;活性污泥法;氧化沟及其各类改良型工艺;生物接触氧化法。3)消毒处理:加氯(二氧化氯或次氯酸钠)消毒;臭氧消毒;紫外消毒。</w:t>
            </w:r>
          </w:p>
        </w:tc>
      </w:tr>
      <w:tr w14:paraId="49D87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pct"/>
            <w:vMerge w:val="continue"/>
            <w:vAlign w:val="center"/>
          </w:tcPr>
          <w:p w14:paraId="21529482">
            <w:pPr>
              <w:widowControl/>
              <w:spacing w:line="240" w:lineRule="auto"/>
              <w:ind w:firstLine="0" w:firstLineChars="0"/>
              <w:jc w:val="center"/>
              <w:rPr>
                <w:color w:val="000000" w:themeColor="text1"/>
                <w:sz w:val="21"/>
                <w:szCs w:val="21"/>
                <w14:textFill>
                  <w14:solidFill>
                    <w14:schemeClr w14:val="tx1"/>
                  </w14:solidFill>
                </w14:textFill>
              </w:rPr>
            </w:pPr>
          </w:p>
        </w:tc>
        <w:tc>
          <w:tcPr>
            <w:tcW w:w="203" w:type="pct"/>
            <w:vMerge w:val="continue"/>
            <w:vAlign w:val="center"/>
          </w:tcPr>
          <w:p w14:paraId="1B19C1B3">
            <w:pPr>
              <w:widowControl/>
              <w:spacing w:line="240" w:lineRule="auto"/>
              <w:ind w:firstLine="0" w:firstLineChars="0"/>
              <w:jc w:val="center"/>
              <w:rPr>
                <w:color w:val="000000" w:themeColor="text1"/>
                <w:sz w:val="21"/>
                <w:szCs w:val="21"/>
                <w14:textFill>
                  <w14:solidFill>
                    <w14:schemeClr w14:val="tx1"/>
                  </w14:solidFill>
                </w14:textFill>
              </w:rPr>
            </w:pPr>
          </w:p>
        </w:tc>
        <w:tc>
          <w:tcPr>
            <w:tcW w:w="661" w:type="pct"/>
            <w:vMerge w:val="continue"/>
            <w:vAlign w:val="center"/>
          </w:tcPr>
          <w:p w14:paraId="655673F8">
            <w:pPr>
              <w:widowControl/>
              <w:spacing w:line="240" w:lineRule="auto"/>
              <w:ind w:firstLine="0" w:firstLineChars="0"/>
              <w:rPr>
                <w:color w:val="000000" w:themeColor="text1"/>
                <w:sz w:val="21"/>
                <w:szCs w:val="21"/>
                <w14:textFill>
                  <w14:solidFill>
                    <w14:schemeClr w14:val="tx1"/>
                  </w14:solidFill>
                </w14:textFill>
              </w:rPr>
            </w:pPr>
          </w:p>
        </w:tc>
        <w:tc>
          <w:tcPr>
            <w:tcW w:w="266" w:type="pct"/>
            <w:vMerge w:val="continue"/>
            <w:vAlign w:val="center"/>
          </w:tcPr>
          <w:p w14:paraId="2C8740C1">
            <w:pPr>
              <w:widowControl/>
              <w:spacing w:line="240" w:lineRule="auto"/>
              <w:ind w:firstLine="0" w:firstLineChars="0"/>
              <w:jc w:val="center"/>
              <w:rPr>
                <w:color w:val="000000" w:themeColor="text1"/>
                <w:sz w:val="21"/>
                <w:szCs w:val="21"/>
                <w14:textFill>
                  <w14:solidFill>
                    <w14:schemeClr w14:val="tx1"/>
                  </w14:solidFill>
                </w14:textFill>
              </w:rPr>
            </w:pPr>
          </w:p>
        </w:tc>
        <w:tc>
          <w:tcPr>
            <w:tcW w:w="344" w:type="pct"/>
            <w:vMerge w:val="continue"/>
            <w:vAlign w:val="center"/>
          </w:tcPr>
          <w:p w14:paraId="24300E06">
            <w:pPr>
              <w:widowControl/>
              <w:spacing w:line="240" w:lineRule="auto"/>
              <w:ind w:firstLine="0" w:firstLineChars="0"/>
              <w:jc w:val="center"/>
              <w:rPr>
                <w:color w:val="000000" w:themeColor="text1"/>
                <w:sz w:val="21"/>
                <w:szCs w:val="21"/>
                <w14:textFill>
                  <w14:solidFill>
                    <w14:schemeClr w14:val="tx1"/>
                  </w14:solidFill>
                </w14:textFill>
              </w:rPr>
            </w:pPr>
          </w:p>
        </w:tc>
        <w:tc>
          <w:tcPr>
            <w:tcW w:w="457" w:type="pct"/>
            <w:vAlign w:val="center"/>
          </w:tcPr>
          <w:p w14:paraId="67ABBCB5">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GB 13457表2一级和表3二级</w:t>
            </w:r>
          </w:p>
        </w:tc>
        <w:tc>
          <w:tcPr>
            <w:tcW w:w="2461" w:type="pct"/>
            <w:vAlign w:val="center"/>
          </w:tcPr>
          <w:p w14:paraId="22CB4C23">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1)预处理:粗(细)格栅(禽类屠宰需设置专用的细格栅、水力筛或筛网);平流或旋流式沉砂、竖流或辐流式沉淀、混凝沉淀;斜板或平流式隔油池:气浮。</w:t>
            </w:r>
          </w:p>
          <w:p w14:paraId="4DE885AB">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2)生化法处理:升流式厌氧污泥床(UASB)；IC反应器或水解酸化技术；活性污泥法；氧化沟及其各类改良型工艺；生物接触氧化法；序批式活性污泥法(SBR)；缺氧/好氧活性污泥法(AO法)。</w:t>
            </w:r>
          </w:p>
          <w:p w14:paraId="763D63FE">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3)消毒处理:加氯(二氧化氯或次氯酸钠)消毒；臭氧消毒；紫外消毒。</w:t>
            </w:r>
          </w:p>
        </w:tc>
      </w:tr>
      <w:tr w14:paraId="3AB93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pct"/>
            <w:vMerge w:val="continue"/>
            <w:vAlign w:val="center"/>
          </w:tcPr>
          <w:p w14:paraId="01AA1C1B">
            <w:pPr>
              <w:widowControl/>
              <w:spacing w:line="240" w:lineRule="auto"/>
              <w:ind w:firstLine="0" w:firstLineChars="0"/>
              <w:jc w:val="center"/>
              <w:rPr>
                <w:color w:val="000000" w:themeColor="text1"/>
                <w:sz w:val="21"/>
                <w:szCs w:val="21"/>
                <w14:textFill>
                  <w14:solidFill>
                    <w14:schemeClr w14:val="tx1"/>
                  </w14:solidFill>
                </w14:textFill>
              </w:rPr>
            </w:pPr>
          </w:p>
        </w:tc>
        <w:tc>
          <w:tcPr>
            <w:tcW w:w="203" w:type="pct"/>
            <w:vMerge w:val="continue"/>
            <w:vAlign w:val="center"/>
          </w:tcPr>
          <w:p w14:paraId="34F845B2">
            <w:pPr>
              <w:widowControl/>
              <w:spacing w:line="240" w:lineRule="auto"/>
              <w:ind w:firstLine="0" w:firstLineChars="0"/>
              <w:jc w:val="center"/>
              <w:rPr>
                <w:color w:val="000000" w:themeColor="text1"/>
                <w:sz w:val="21"/>
                <w:szCs w:val="21"/>
                <w14:textFill>
                  <w14:solidFill>
                    <w14:schemeClr w14:val="tx1"/>
                  </w14:solidFill>
                </w14:textFill>
              </w:rPr>
            </w:pPr>
          </w:p>
        </w:tc>
        <w:tc>
          <w:tcPr>
            <w:tcW w:w="661" w:type="pct"/>
            <w:vMerge w:val="continue"/>
            <w:vAlign w:val="center"/>
          </w:tcPr>
          <w:p w14:paraId="1F231802">
            <w:pPr>
              <w:widowControl/>
              <w:spacing w:line="240" w:lineRule="auto"/>
              <w:ind w:firstLine="0" w:firstLineChars="0"/>
              <w:rPr>
                <w:color w:val="000000" w:themeColor="text1"/>
                <w:sz w:val="21"/>
                <w:szCs w:val="21"/>
                <w14:textFill>
                  <w14:solidFill>
                    <w14:schemeClr w14:val="tx1"/>
                  </w14:solidFill>
                </w14:textFill>
              </w:rPr>
            </w:pPr>
          </w:p>
        </w:tc>
        <w:tc>
          <w:tcPr>
            <w:tcW w:w="266" w:type="pct"/>
            <w:vMerge w:val="continue"/>
            <w:vAlign w:val="center"/>
          </w:tcPr>
          <w:p w14:paraId="16A80A8F">
            <w:pPr>
              <w:widowControl/>
              <w:spacing w:line="240" w:lineRule="auto"/>
              <w:ind w:firstLine="0" w:firstLineChars="0"/>
              <w:jc w:val="center"/>
              <w:rPr>
                <w:color w:val="000000" w:themeColor="text1"/>
                <w:sz w:val="21"/>
                <w:szCs w:val="21"/>
                <w14:textFill>
                  <w14:solidFill>
                    <w14:schemeClr w14:val="tx1"/>
                  </w14:solidFill>
                </w14:textFill>
              </w:rPr>
            </w:pPr>
          </w:p>
        </w:tc>
        <w:tc>
          <w:tcPr>
            <w:tcW w:w="344" w:type="pct"/>
            <w:vMerge w:val="continue"/>
            <w:vAlign w:val="center"/>
          </w:tcPr>
          <w:p w14:paraId="3999DA14">
            <w:pPr>
              <w:widowControl/>
              <w:spacing w:line="240" w:lineRule="auto"/>
              <w:ind w:firstLine="0" w:firstLineChars="0"/>
              <w:jc w:val="center"/>
              <w:rPr>
                <w:color w:val="000000" w:themeColor="text1"/>
                <w:sz w:val="21"/>
                <w:szCs w:val="21"/>
                <w14:textFill>
                  <w14:solidFill>
                    <w14:schemeClr w14:val="tx1"/>
                  </w14:solidFill>
                </w14:textFill>
              </w:rPr>
            </w:pPr>
          </w:p>
        </w:tc>
        <w:tc>
          <w:tcPr>
            <w:tcW w:w="457" w:type="pct"/>
            <w:vAlign w:val="center"/>
          </w:tcPr>
          <w:p w14:paraId="6CBF01AB">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GB 13457表3一级</w:t>
            </w:r>
          </w:p>
        </w:tc>
        <w:tc>
          <w:tcPr>
            <w:tcW w:w="2461" w:type="pct"/>
            <w:vAlign w:val="center"/>
          </w:tcPr>
          <w:p w14:paraId="361417F3">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预处理:粗(细)格栅(禽类屠宰需设置专用的细格栅、水力筛或筛网):平流或旋流式沉砂、竖流或辐流式沉淀、混凝沉淀:斜板或平流式隔油池:气浮。2)生化法处理:升流式厌氧污泥床(UASB):IC反应器或水解酸化技术:活性污泥法:氧化沟及其各类改良型工艺:生物接触氧化法:序批式活性污泥法(SBR):缺氧/好氧活性污泥法(AO法)。3)消毒处理:加氯(二氧化氯或次氯酸钠)消毒:臭氧消毒:紫外消毒。4)深度处理:曝气生物滤池(BAF)、V型滤池。</w:t>
            </w:r>
          </w:p>
        </w:tc>
      </w:tr>
    </w:tbl>
    <w:p w14:paraId="3DCC7E83">
      <w:pPr>
        <w:widowControl/>
        <w:spacing w:line="240" w:lineRule="auto"/>
        <w:ind w:firstLine="420"/>
        <w:jc w:val="left"/>
        <w:rPr>
          <w:color w:val="000000" w:themeColor="text1"/>
          <w:sz w:val="21"/>
          <w:szCs w:val="21"/>
          <w14:textFill>
            <w14:solidFill>
              <w14:schemeClr w14:val="tx1"/>
            </w14:solidFill>
          </w14:textFill>
        </w:rPr>
      </w:pPr>
    </w:p>
    <w:p w14:paraId="409D5281">
      <w:pPr>
        <w:widowControl/>
        <w:spacing w:line="240" w:lineRule="auto"/>
        <w:ind w:firstLine="420"/>
        <w:jc w:val="left"/>
        <w:rPr>
          <w:color w:val="000000" w:themeColor="text1"/>
          <w:sz w:val="21"/>
          <w:szCs w:val="21"/>
          <w14:textFill>
            <w14:solidFill>
              <w14:schemeClr w14:val="tx1"/>
            </w14:solidFill>
          </w14:textFill>
        </w:rPr>
      </w:pPr>
    </w:p>
    <w:p w14:paraId="6D09A989">
      <w:pPr>
        <w:widowControl/>
        <w:spacing w:line="240" w:lineRule="auto"/>
        <w:ind w:firstLine="420"/>
        <w:jc w:val="righ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续表</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4"/>
        <w:gridCol w:w="575"/>
        <w:gridCol w:w="1874"/>
        <w:gridCol w:w="754"/>
        <w:gridCol w:w="975"/>
        <w:gridCol w:w="1296"/>
        <w:gridCol w:w="6976"/>
      </w:tblGrid>
      <w:tr w14:paraId="354DD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pct"/>
            <w:vMerge w:val="restart"/>
            <w:vAlign w:val="center"/>
          </w:tcPr>
          <w:p w14:paraId="11088A37">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厂内综合污水处理站的综合污水、专门处理屠宰及肉类加工废水的集中式污水处理厂综合污水(屠宰及肉制品加工生产废水、生活污水、径流污染等)</w:t>
            </w:r>
          </w:p>
        </w:tc>
        <w:tc>
          <w:tcPr>
            <w:tcW w:w="203" w:type="pct"/>
            <w:vMerge w:val="restart"/>
            <w:vAlign w:val="center"/>
          </w:tcPr>
          <w:p w14:paraId="6C4089AE">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不含羽绒清洗废水</w:t>
            </w:r>
          </w:p>
        </w:tc>
        <w:tc>
          <w:tcPr>
            <w:tcW w:w="661" w:type="pct"/>
            <w:vMerge w:val="restart"/>
            <w:vAlign w:val="center"/>
          </w:tcPr>
          <w:p w14:paraId="20FBD781">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pH 值、化学需氧量、五日生化需氧量、悬浮物、氨氮、动植物油、大肠菌群数</w:t>
            </w:r>
          </w:p>
        </w:tc>
        <w:tc>
          <w:tcPr>
            <w:tcW w:w="266" w:type="pct"/>
            <w:vAlign w:val="center"/>
          </w:tcPr>
          <w:p w14:paraId="31289422">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直接排放</w:t>
            </w:r>
            <w:r>
              <w:rPr>
                <w:rFonts w:hint="eastAsia"/>
                <w:color w:val="000000" w:themeColor="text1"/>
                <w:sz w:val="21"/>
                <w:szCs w:val="21"/>
                <w:vertAlign w:val="superscript"/>
                <w14:textFill>
                  <w14:solidFill>
                    <w14:schemeClr w14:val="tx1"/>
                  </w14:solidFill>
                </w14:textFill>
              </w:rPr>
              <w:t>b</w:t>
            </w:r>
          </w:p>
        </w:tc>
        <w:tc>
          <w:tcPr>
            <w:tcW w:w="344" w:type="pct"/>
            <w:vMerge w:val="restart"/>
            <w:vAlign w:val="center"/>
          </w:tcPr>
          <w:p w14:paraId="1EFB0D1C">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废水总排放口</w:t>
            </w:r>
          </w:p>
        </w:tc>
        <w:tc>
          <w:tcPr>
            <w:tcW w:w="457" w:type="pct"/>
            <w:vAlign w:val="center"/>
          </w:tcPr>
          <w:p w14:paraId="31919626">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排入城镇污水集中处理设施:执行 GB13457 的三级限值</w:t>
            </w:r>
          </w:p>
        </w:tc>
        <w:tc>
          <w:tcPr>
            <w:tcW w:w="2461" w:type="pct"/>
            <w:vAlign w:val="center"/>
          </w:tcPr>
          <w:p w14:paraId="51E1630E">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预处理:粗(细)格栅(禽类屠宰需设置专用的细格栅、水力或筛网):平流或旋流式沉砂、竖流或辐流式沉淀、混凝沉淀；斜板或平流式隔油池；气浮。2)生化法处理:升流式厌氧污泥床(UASB):IC反应器或水解酸化技术;活性污泥法;氧化沟及其各类改良型工艺。</w:t>
            </w:r>
          </w:p>
        </w:tc>
      </w:tr>
      <w:tr w14:paraId="05061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pct"/>
            <w:vMerge w:val="continue"/>
            <w:vAlign w:val="center"/>
          </w:tcPr>
          <w:p w14:paraId="71300833">
            <w:pPr>
              <w:widowControl/>
              <w:spacing w:line="240" w:lineRule="auto"/>
              <w:ind w:firstLine="0" w:firstLineChars="0"/>
              <w:jc w:val="center"/>
              <w:rPr>
                <w:color w:val="000000" w:themeColor="text1"/>
                <w:sz w:val="21"/>
                <w:szCs w:val="21"/>
                <w14:textFill>
                  <w14:solidFill>
                    <w14:schemeClr w14:val="tx1"/>
                  </w14:solidFill>
                </w14:textFill>
              </w:rPr>
            </w:pPr>
          </w:p>
        </w:tc>
        <w:tc>
          <w:tcPr>
            <w:tcW w:w="203" w:type="pct"/>
            <w:vMerge w:val="continue"/>
            <w:vAlign w:val="center"/>
          </w:tcPr>
          <w:p w14:paraId="3F2F8363">
            <w:pPr>
              <w:widowControl/>
              <w:spacing w:line="240" w:lineRule="auto"/>
              <w:ind w:firstLine="0" w:firstLineChars="0"/>
              <w:jc w:val="center"/>
              <w:rPr>
                <w:color w:val="000000" w:themeColor="text1"/>
                <w:sz w:val="21"/>
                <w:szCs w:val="21"/>
                <w14:textFill>
                  <w14:solidFill>
                    <w14:schemeClr w14:val="tx1"/>
                  </w14:solidFill>
                </w14:textFill>
              </w:rPr>
            </w:pPr>
          </w:p>
        </w:tc>
        <w:tc>
          <w:tcPr>
            <w:tcW w:w="661" w:type="pct"/>
            <w:vMerge w:val="continue"/>
            <w:vAlign w:val="center"/>
          </w:tcPr>
          <w:p w14:paraId="220A7AD8">
            <w:pPr>
              <w:widowControl/>
              <w:spacing w:line="240" w:lineRule="auto"/>
              <w:ind w:firstLine="0" w:firstLineChars="0"/>
              <w:rPr>
                <w:color w:val="000000" w:themeColor="text1"/>
                <w:sz w:val="21"/>
                <w:szCs w:val="21"/>
                <w14:textFill>
                  <w14:solidFill>
                    <w14:schemeClr w14:val="tx1"/>
                  </w14:solidFill>
                </w14:textFill>
              </w:rPr>
            </w:pPr>
          </w:p>
        </w:tc>
        <w:tc>
          <w:tcPr>
            <w:tcW w:w="266" w:type="pct"/>
            <w:vAlign w:val="center"/>
          </w:tcPr>
          <w:p w14:paraId="15898D70">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间接排放</w:t>
            </w:r>
            <w:r>
              <w:rPr>
                <w:color w:val="000000" w:themeColor="text1"/>
                <w:sz w:val="21"/>
                <w:szCs w:val="21"/>
                <w:vertAlign w:val="superscript"/>
                <w14:textFill>
                  <w14:solidFill>
                    <w14:schemeClr w14:val="tx1"/>
                  </w14:solidFill>
                </w14:textFill>
              </w:rPr>
              <w:t>c</w:t>
            </w:r>
          </w:p>
        </w:tc>
        <w:tc>
          <w:tcPr>
            <w:tcW w:w="344" w:type="pct"/>
            <w:vMerge w:val="continue"/>
            <w:vAlign w:val="center"/>
          </w:tcPr>
          <w:p w14:paraId="1A96DF92">
            <w:pPr>
              <w:widowControl/>
              <w:spacing w:line="240" w:lineRule="auto"/>
              <w:ind w:firstLine="0" w:firstLineChars="0"/>
              <w:jc w:val="center"/>
              <w:rPr>
                <w:color w:val="000000" w:themeColor="text1"/>
                <w:sz w:val="21"/>
                <w:szCs w:val="21"/>
                <w14:textFill>
                  <w14:solidFill>
                    <w14:schemeClr w14:val="tx1"/>
                  </w14:solidFill>
                </w14:textFill>
              </w:rPr>
            </w:pPr>
          </w:p>
        </w:tc>
        <w:tc>
          <w:tcPr>
            <w:tcW w:w="457" w:type="pct"/>
            <w:vAlign w:val="center"/>
          </w:tcPr>
          <w:p w14:paraId="6B8B451B">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排入工业废水集中处理设施:执行排污单位与工业废水集中处理设施责任单位的协商值</w:t>
            </w:r>
          </w:p>
        </w:tc>
        <w:tc>
          <w:tcPr>
            <w:tcW w:w="2461" w:type="pct"/>
            <w:vAlign w:val="center"/>
          </w:tcPr>
          <w:p w14:paraId="1603E26C">
            <w:pPr>
              <w:widowControl/>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w:t>
            </w:r>
          </w:p>
        </w:tc>
      </w:tr>
      <w:tr w14:paraId="5054B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7"/>
            <w:vAlign w:val="center"/>
          </w:tcPr>
          <w:p w14:paraId="3773E15E">
            <w:pPr>
              <w:widowControl/>
              <w:spacing w:line="240" w:lineRule="auto"/>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注：a</w:t>
            </w:r>
            <w:r>
              <w:rPr>
                <w:color w:val="000000" w:themeColor="text1"/>
                <w:sz w:val="21"/>
                <w:szCs w:val="21"/>
                <w14:textFill>
                  <w14:solidFill>
                    <w14:schemeClr w14:val="tx1"/>
                  </w14:solidFill>
                </w14:textFill>
              </w:rPr>
              <w:t xml:space="preserve"> </w:t>
            </w:r>
            <w:r>
              <w:rPr>
                <w:rFonts w:hint="eastAsia"/>
                <w:color w:val="000000" w:themeColor="text1"/>
                <w:sz w:val="21"/>
                <w:szCs w:val="21"/>
                <w14:textFill>
                  <w14:solidFill>
                    <w14:schemeClr w14:val="tx1"/>
                  </w14:solidFill>
                </w14:textFill>
              </w:rPr>
              <w:t>排污单位针对排放的废水类别，至少应采取表中所列的措施之一。</w:t>
            </w:r>
          </w:p>
          <w:p w14:paraId="110A09D3">
            <w:pPr>
              <w:widowControl/>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b</w:t>
            </w:r>
            <w:r>
              <w:rPr>
                <w:rFonts w:hint="eastAsia"/>
                <w:color w:val="000000" w:themeColor="text1"/>
                <w:sz w:val="21"/>
                <w:szCs w:val="21"/>
                <w14:textFill>
                  <w14:solidFill>
                    <w14:schemeClr w14:val="tx1"/>
                  </w14:solidFill>
                </w14:textFill>
              </w:rPr>
              <w:t xml:space="preserve"> 直接排放指直接进入江河、湖、库等水环境、直接进入海域、进入城市下水道(再入江河、湖、库)、进入城市下水道(再入沿海海域)，以及其他直接进入环境水体的排放方式。</w:t>
            </w:r>
          </w:p>
          <w:p w14:paraId="5C287884">
            <w:pPr>
              <w:widowControl/>
              <w:spacing w:line="240" w:lineRule="auto"/>
              <w:ind w:firstLine="42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c </w:t>
            </w:r>
            <w:r>
              <w:rPr>
                <w:rFonts w:hint="eastAsia"/>
                <w:color w:val="000000" w:themeColor="text1"/>
                <w:sz w:val="21"/>
                <w:szCs w:val="21"/>
                <w14:textFill>
                  <w14:solidFill>
                    <w14:schemeClr w14:val="tx1"/>
                  </w14:solidFill>
                </w14:textFill>
              </w:rPr>
              <w:t>间接排放指进入城镇污水集中处理设施、进入专门处理屠宰及肉类加工废水的集中式污水处理厂、进入其他工业废水集中处理设施，以及其他间接进入环境水体的排放方式。</w:t>
            </w:r>
          </w:p>
          <w:p w14:paraId="6E575D94">
            <w:pPr>
              <w:widowControl/>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d 排污单位废水排入城镇污水集中处理设施时，由企业与城镇污水处理设施责任单位根据其污水处理能力商定或执行相关标准。</w:t>
            </w:r>
          </w:p>
        </w:tc>
      </w:tr>
    </w:tbl>
    <w:p w14:paraId="09F668E9">
      <w:pPr>
        <w:widowControl/>
        <w:spacing w:line="240" w:lineRule="auto"/>
        <w:ind w:firstLine="0" w:firstLineChars="0"/>
        <w:jc w:val="left"/>
        <w:rPr>
          <w:color w:val="000000" w:themeColor="text1"/>
          <w:sz w:val="21"/>
          <w:szCs w:val="21"/>
          <w14:textFill>
            <w14:solidFill>
              <w14:schemeClr w14:val="tx1"/>
            </w14:solidFill>
          </w14:textFill>
        </w:rPr>
        <w:sectPr>
          <w:pgSz w:w="16838" w:h="11906" w:orient="landscape"/>
          <w:pgMar w:top="1800" w:right="1440" w:bottom="1800" w:left="1440" w:header="851" w:footer="567" w:gutter="0"/>
          <w:cols w:space="425" w:num="1"/>
          <w:docGrid w:type="lines" w:linePitch="326" w:charSpace="0"/>
        </w:sectPr>
      </w:pPr>
      <w:r>
        <w:rPr>
          <w:color w:val="000000" w:themeColor="text1"/>
          <w:sz w:val="21"/>
          <w:szCs w:val="21"/>
          <w14:textFill>
            <w14:solidFill>
              <w14:schemeClr w14:val="tx1"/>
            </w14:solidFill>
          </w14:textFill>
        </w:rPr>
        <w:br w:type="page"/>
      </w:r>
    </w:p>
    <w:p w14:paraId="1639C885">
      <w:pPr>
        <w:widowControl/>
        <w:spacing w:line="240" w:lineRule="auto"/>
        <w:ind w:firstLine="0" w:firstLineChars="0"/>
        <w:jc w:val="left"/>
        <w:rPr>
          <w:color w:val="000000" w:themeColor="text1"/>
          <w:sz w:val="21"/>
          <w:szCs w:val="21"/>
          <w14:textFill>
            <w14:solidFill>
              <w14:schemeClr w14:val="tx1"/>
            </w14:solidFill>
          </w14:textFill>
        </w:rPr>
      </w:pPr>
    </w:p>
    <w:p w14:paraId="5DFD2DE5">
      <w:pPr>
        <w:spacing w:line="240" w:lineRule="auto"/>
        <w:ind w:firstLine="42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参 考 文 献</w:t>
      </w:r>
    </w:p>
    <w:p w14:paraId="71AE37F7">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 地下水管理条例 （中华人民共和国国务院令 第7</w:t>
      </w:r>
      <w:r>
        <w:rPr>
          <w:color w:val="000000" w:themeColor="text1"/>
          <w:sz w:val="21"/>
          <w:szCs w:val="21"/>
          <w14:textFill>
            <w14:solidFill>
              <w14:schemeClr w14:val="tx1"/>
            </w14:solidFill>
          </w14:textFill>
        </w:rPr>
        <w:t>48</w:t>
      </w:r>
      <w:r>
        <w:rPr>
          <w:rFonts w:hint="eastAsia"/>
          <w:color w:val="000000" w:themeColor="text1"/>
          <w:sz w:val="21"/>
          <w:szCs w:val="21"/>
          <w14:textFill>
            <w14:solidFill>
              <w14:schemeClr w14:val="tx1"/>
            </w14:solidFill>
          </w14:textFill>
        </w:rPr>
        <w:t>号）</w:t>
      </w:r>
    </w:p>
    <w:p w14:paraId="433A0411">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2</w:t>
      </w:r>
      <w:r>
        <w:rPr>
          <w:rFonts w:hint="eastAsia"/>
          <w:color w:val="000000" w:themeColor="text1"/>
          <w:sz w:val="21"/>
          <w:szCs w:val="21"/>
          <w14:textFill>
            <w14:solidFill>
              <w14:schemeClr w14:val="tx1"/>
            </w14:solidFill>
          </w14:textFill>
        </w:rPr>
        <w:t>] 建设工程质量管理条例（中华人民共和国国务院令 第279号）</w:t>
      </w:r>
    </w:p>
    <w:p w14:paraId="3C18C257">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3</w:t>
      </w:r>
      <w:r>
        <w:rPr>
          <w:rFonts w:hint="eastAsia"/>
          <w:color w:val="000000" w:themeColor="text1"/>
          <w:sz w:val="21"/>
          <w:szCs w:val="21"/>
          <w14:textFill>
            <w14:solidFill>
              <w14:schemeClr w14:val="tx1"/>
            </w14:solidFill>
          </w14:textFill>
        </w:rPr>
        <w:t>] 房屋建筑工程和市政基础设施工程竣工验收备案管理暂行办法（建设部令第78号）</w:t>
      </w:r>
    </w:p>
    <w:p w14:paraId="005268A4">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4</w:t>
      </w:r>
      <w:r>
        <w:rPr>
          <w:rFonts w:hint="eastAsia"/>
          <w:color w:val="000000" w:themeColor="text1"/>
          <w:sz w:val="21"/>
          <w:szCs w:val="21"/>
          <w14:textFill>
            <w14:solidFill>
              <w14:schemeClr w14:val="tx1"/>
            </w14:solidFill>
          </w14:textFill>
        </w:rPr>
        <w:t>] 中国建筑标准设计研究院.小型排水构筑物[M].北京:中国计划出版</w:t>
      </w:r>
    </w:p>
    <w:p w14:paraId="4E112E0F">
      <w:pPr>
        <w:spacing w:line="240" w:lineRule="auto"/>
        <w:ind w:firstLine="4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5</w:t>
      </w:r>
      <w:r>
        <w:rPr>
          <w:rFonts w:hint="eastAsia"/>
          <w:color w:val="000000" w:themeColor="text1"/>
          <w:sz w:val="21"/>
          <w:szCs w:val="21"/>
          <w14:textFill>
            <w14:solidFill>
              <w14:schemeClr w14:val="tx1"/>
            </w14:solidFill>
          </w14:textFill>
        </w:rPr>
        <w:t>]</w:t>
      </w:r>
      <w:r>
        <w:rPr>
          <w:color w:val="000000" w:themeColor="text1"/>
          <w:sz w:val="21"/>
          <w:szCs w:val="21"/>
          <w14:textFill>
            <w14:solidFill>
              <w14:schemeClr w14:val="tx1"/>
            </w14:solidFill>
          </w14:textFill>
        </w:rPr>
        <w:t xml:space="preserve"> </w:t>
      </w:r>
      <w:r>
        <w:rPr>
          <w:rFonts w:hint="eastAsia"/>
          <w:color w:val="000000" w:themeColor="text1"/>
          <w:sz w:val="21"/>
          <w:szCs w:val="21"/>
          <w14:textFill>
            <w14:solidFill>
              <w14:schemeClr w14:val="tx1"/>
            </w14:solidFill>
          </w14:textFill>
        </w:rPr>
        <w:t>安徽省污染源自动监控管理办法（试行）（皖环发【2</w:t>
      </w:r>
      <w:r>
        <w:rPr>
          <w:color w:val="000000" w:themeColor="text1"/>
          <w:sz w:val="21"/>
          <w:szCs w:val="21"/>
          <w14:textFill>
            <w14:solidFill>
              <w14:schemeClr w14:val="tx1"/>
            </w14:solidFill>
          </w14:textFill>
        </w:rPr>
        <w:t>021</w:t>
      </w:r>
      <w:r>
        <w:rPr>
          <w:rFonts w:hint="eastAsia"/>
          <w:color w:val="000000" w:themeColor="text1"/>
          <w:sz w:val="21"/>
          <w:szCs w:val="21"/>
          <w14:textFill>
            <w14:solidFill>
              <w14:schemeClr w14:val="tx1"/>
            </w14:solidFill>
          </w14:textFill>
        </w:rPr>
        <w:t>】3</w:t>
      </w:r>
      <w:r>
        <w:rPr>
          <w:color w:val="000000" w:themeColor="text1"/>
          <w:sz w:val="21"/>
          <w:szCs w:val="21"/>
          <w14:textFill>
            <w14:solidFill>
              <w14:schemeClr w14:val="tx1"/>
            </w14:solidFill>
          </w14:textFill>
        </w:rPr>
        <w:t>0</w:t>
      </w:r>
      <w:r>
        <w:rPr>
          <w:rFonts w:hint="eastAsia"/>
          <w:color w:val="000000" w:themeColor="text1"/>
          <w:sz w:val="21"/>
          <w:szCs w:val="21"/>
          <w14:textFill>
            <w14:solidFill>
              <w14:schemeClr w14:val="tx1"/>
            </w14:solidFill>
          </w14:textFill>
        </w:rPr>
        <w:t>号）</w:t>
      </w:r>
    </w:p>
    <w:sectPr>
      <w:pgSz w:w="11906" w:h="16838"/>
      <w:pgMar w:top="1440" w:right="1800" w:bottom="1440" w:left="1800" w:header="851"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AFE96">
    <w:pPr>
      <w:pStyle w:val="9"/>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CC1A6">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55E">
    <w:pPr>
      <w:pStyle w:val="9"/>
      <w:ind w:firstLine="360"/>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8C8AC">
    <w:pPr>
      <w:pStyle w:val="9"/>
      <w:ind w:right="720" w:firstLine="4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42230">
    <w:pPr>
      <w:pStyle w:val="34"/>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29887">
    <w:pPr>
      <w:pStyle w:val="33"/>
    </w:pPr>
    <w:r>
      <w:fldChar w:fldCharType="begin"/>
    </w:r>
    <w:r>
      <w:instrText xml:space="preserve">PAGE   \* MERGEFORMAT</w:instrText>
    </w:r>
    <w:r>
      <w:fldChar w:fldCharType="separate"/>
    </w:r>
    <w:r>
      <w:rPr>
        <w:lang w:val="zh-CN"/>
      </w:rPr>
      <w:t>2</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1B55D">
    <w:pPr>
      <w:pStyle w:val="34"/>
    </w:pPr>
    <w:r>
      <w:fldChar w:fldCharType="begin"/>
    </w:r>
    <w:r>
      <w:instrText xml:space="preserve">PAGE   \* MERGEFORMAT</w:instrText>
    </w:r>
    <w:r>
      <w:fldChar w:fldCharType="separate"/>
    </w:r>
    <w:r>
      <w:rPr>
        <w:lang w:val="zh-CN"/>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F832F">
    <w:pPr>
      <w:pStyle w:val="33"/>
    </w:pPr>
    <w:r>
      <w:fldChar w:fldCharType="begin"/>
    </w:r>
    <w:r>
      <w:instrText xml:space="preserve">PAGE   \* MERGEFORMAT</w:instrText>
    </w:r>
    <w:r>
      <w:fldChar w:fldCharType="separate"/>
    </w:r>
    <w:r>
      <w:rPr>
        <w:lang w:val="zh-CN"/>
      </w:rP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70100234"/>
      <w:docPartObj>
        <w:docPartGallery w:val="autotext"/>
      </w:docPartObj>
    </w:sdtPr>
    <w:sdtContent>
      <w:p w14:paraId="716FD26B">
        <w:pPr>
          <w:pStyle w:val="9"/>
          <w:spacing w:after="360"/>
          <w:ind w:firstLine="360"/>
          <w:jc w:val="center"/>
        </w:pPr>
        <w:r>
          <w:fldChar w:fldCharType="begin"/>
        </w:r>
        <w:r>
          <w:instrText xml:space="preserve">PAGE   \* MERGEFORMAT</w:instrText>
        </w:r>
        <w:r>
          <w:fldChar w:fldCharType="separate"/>
        </w:r>
        <w:r>
          <w:rPr>
            <w:lang w:val="zh-CN"/>
          </w:rPr>
          <w:t>3</w:t>
        </w:r>
        <w:r>
          <w:fldChar w:fldCharType="end"/>
        </w:r>
      </w:p>
    </w:sdtContent>
  </w:sdt>
  <w:p w14:paraId="74C80C30">
    <w:pPr>
      <w:pStyle w:val="9"/>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10CBF">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A9563">
    <w:pPr>
      <w:pStyle w:val="10"/>
    </w:pPr>
    <w:r>
      <w:t>Q/LB.</w:t>
    </w:r>
    <w:r>
      <w:rPr>
        <w:rFonts w:hint="eastAsia"/>
      </w:rPr>
      <w:t>□</w:t>
    </w:r>
    <w: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FC8F3">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9C6F2">
    <w:pPr>
      <w:pStyle w:val="36"/>
    </w:pPr>
    <w:r>
      <w:fldChar w:fldCharType="begin"/>
    </w:r>
    <w:r>
      <w:instrText xml:space="preserve"> STYLEREF  标准文件_文件编号  \* MERGEFORMAT </w:instrText>
    </w:r>
    <w:r>
      <w:fldChar w:fldCharType="separate"/>
    </w:r>
    <w:r>
      <w:t>DB 34/T XXXX—202X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49A23">
    <w:pPr>
      <w:pStyle w:val="37"/>
    </w:pPr>
    <w:r>
      <w:fldChar w:fldCharType="begin"/>
    </w:r>
    <w:r>
      <w:instrText xml:space="preserve"> STYLEREF  标准文件_文件编号 \* MERGEFORMAT </w:instrText>
    </w:r>
    <w:r>
      <w:fldChar w:fldCharType="separate"/>
    </w:r>
    <w:r>
      <w:t>DB 34/T XXXX—202X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0C439">
    <w:pPr>
      <w:pStyle w:val="36"/>
    </w:pPr>
    <w:r>
      <w:fldChar w:fldCharType="begin"/>
    </w:r>
    <w:r>
      <w:instrText xml:space="preserve"> STYLEREF  标准文件_文件编号  \* MERGEFORMAT </w:instrText>
    </w:r>
    <w:r>
      <w:fldChar w:fldCharType="separate"/>
    </w:r>
    <w:r>
      <w:t>DB 34/T XXXX—202X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3D5EC">
    <w:pPr>
      <w:pStyle w:val="37"/>
    </w:pPr>
    <w:r>
      <w:fldChar w:fldCharType="begin"/>
    </w:r>
    <w:r>
      <w:instrText xml:space="preserve"> STYLEREF  标准文件_文件编号 \* MERGEFORMAT </w:instrText>
    </w:r>
    <w:r>
      <w:fldChar w:fldCharType="separate"/>
    </w:r>
    <w:r>
      <w:t>DB 34/T XXXX—202X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266EC">
    <w:pPr>
      <w:pStyle w:val="36"/>
    </w:pPr>
    <w:r>
      <w:fldChar w:fldCharType="begin"/>
    </w:r>
    <w:r>
      <w:instrText xml:space="preserve"> STYLEREF  标准文件_文件编号  \* MERGEFORMAT </w:instrText>
    </w:r>
    <w:r>
      <w:fldChar w:fldCharType="separate"/>
    </w:r>
    <w:r>
      <w:t>DB 34/T XXXX—202X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B6EE">
    <w:pPr>
      <w:pStyle w:val="1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D2F20">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321FBC"/>
    <w:multiLevelType w:val="multilevel"/>
    <w:tmpl w:val="22321FBC"/>
    <w:lvl w:ilvl="0" w:tentative="0">
      <w:start w:val="1"/>
      <w:numFmt w:val="decimal"/>
      <w:lvlText w:val="%1."/>
      <w:lvlJc w:val="left"/>
      <w:pPr>
        <w:tabs>
          <w:tab w:val="left" w:pos="720"/>
        </w:tabs>
        <w:ind w:left="720" w:hanging="720"/>
      </w:pPr>
    </w:lvl>
    <w:lvl w:ilvl="1" w:tentative="0">
      <w:start w:val="1"/>
      <w:numFmt w:val="decimal"/>
      <w:pStyle w:val="47"/>
      <w:lvlText w:val="%2."/>
      <w:lvlJc w:val="left"/>
      <w:pPr>
        <w:tabs>
          <w:tab w:val="left" w:pos="1440"/>
        </w:tabs>
        <w:ind w:left="1440" w:hanging="720"/>
      </w:pPr>
    </w:lvl>
    <w:lvl w:ilvl="2" w:tentative="0">
      <w:start w:val="1"/>
      <w:numFmt w:val="decimal"/>
      <w:pStyle w:val="48"/>
      <w:lvlText w:val="%3."/>
      <w:lvlJc w:val="left"/>
      <w:pPr>
        <w:tabs>
          <w:tab w:val="left" w:pos="2160"/>
        </w:tabs>
        <w:ind w:left="2160" w:hanging="720"/>
      </w:pPr>
    </w:lvl>
    <w:lvl w:ilvl="3" w:tentative="0">
      <w:start w:val="1"/>
      <w:numFmt w:val="decimal"/>
      <w:pStyle w:val="49"/>
      <w:lvlText w:val="%4."/>
      <w:lvlJc w:val="left"/>
      <w:pPr>
        <w:tabs>
          <w:tab w:val="left" w:pos="2880"/>
        </w:tabs>
        <w:ind w:left="2880" w:hanging="720"/>
      </w:pPr>
    </w:lvl>
    <w:lvl w:ilvl="4" w:tentative="0">
      <w:start w:val="1"/>
      <w:numFmt w:val="decimal"/>
      <w:pStyle w:val="50"/>
      <w:lvlText w:val="%5."/>
      <w:lvlJc w:val="left"/>
      <w:pPr>
        <w:tabs>
          <w:tab w:val="left" w:pos="3600"/>
        </w:tabs>
        <w:ind w:left="3600" w:hanging="720"/>
      </w:pPr>
    </w:lvl>
    <w:lvl w:ilvl="5" w:tentative="0">
      <w:start w:val="1"/>
      <w:numFmt w:val="decimal"/>
      <w:pStyle w:val="51"/>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1">
    <w:nsid w:val="623ED840"/>
    <w:multiLevelType w:val="singleLevel"/>
    <w:tmpl w:val="623ED840"/>
    <w:lvl w:ilvl="0" w:tentative="0">
      <w:start w:val="1"/>
      <w:numFmt w:val="lowerLetter"/>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yMDgyN2I3YmJkNTU1Yjk5YTU1ZmU3M2M5NjAwYjMifQ=="/>
  </w:docVars>
  <w:rsids>
    <w:rsidRoot w:val="004A3CB1"/>
    <w:rsid w:val="0000000B"/>
    <w:rsid w:val="00004BAA"/>
    <w:rsid w:val="000070B0"/>
    <w:rsid w:val="000114BD"/>
    <w:rsid w:val="00011C25"/>
    <w:rsid w:val="00012B39"/>
    <w:rsid w:val="00014FE5"/>
    <w:rsid w:val="00017FC8"/>
    <w:rsid w:val="000232A5"/>
    <w:rsid w:val="00023806"/>
    <w:rsid w:val="000239E5"/>
    <w:rsid w:val="00027018"/>
    <w:rsid w:val="00030FF7"/>
    <w:rsid w:val="00032B32"/>
    <w:rsid w:val="00042553"/>
    <w:rsid w:val="0004613A"/>
    <w:rsid w:val="00055926"/>
    <w:rsid w:val="0005633E"/>
    <w:rsid w:val="000604D0"/>
    <w:rsid w:val="0006138B"/>
    <w:rsid w:val="00064A01"/>
    <w:rsid w:val="00065666"/>
    <w:rsid w:val="00071112"/>
    <w:rsid w:val="00072FB0"/>
    <w:rsid w:val="00075D08"/>
    <w:rsid w:val="0007796E"/>
    <w:rsid w:val="00080E3F"/>
    <w:rsid w:val="000823B6"/>
    <w:rsid w:val="00083AF7"/>
    <w:rsid w:val="00084C71"/>
    <w:rsid w:val="00086A5F"/>
    <w:rsid w:val="00091720"/>
    <w:rsid w:val="00093D42"/>
    <w:rsid w:val="00097A33"/>
    <w:rsid w:val="000A05FC"/>
    <w:rsid w:val="000A2DDE"/>
    <w:rsid w:val="000B3255"/>
    <w:rsid w:val="000B4587"/>
    <w:rsid w:val="000C060A"/>
    <w:rsid w:val="000C2EF6"/>
    <w:rsid w:val="000C3AA7"/>
    <w:rsid w:val="000C439E"/>
    <w:rsid w:val="000C442F"/>
    <w:rsid w:val="000C7A3E"/>
    <w:rsid w:val="000D1237"/>
    <w:rsid w:val="000D1E31"/>
    <w:rsid w:val="000D4245"/>
    <w:rsid w:val="000D4FC4"/>
    <w:rsid w:val="000D54EC"/>
    <w:rsid w:val="000E3349"/>
    <w:rsid w:val="000E4DFD"/>
    <w:rsid w:val="000F01CA"/>
    <w:rsid w:val="000F2C8F"/>
    <w:rsid w:val="000F377D"/>
    <w:rsid w:val="000F7661"/>
    <w:rsid w:val="00101087"/>
    <w:rsid w:val="0011227A"/>
    <w:rsid w:val="00113153"/>
    <w:rsid w:val="00115945"/>
    <w:rsid w:val="001251A9"/>
    <w:rsid w:val="0012713F"/>
    <w:rsid w:val="00130165"/>
    <w:rsid w:val="00132B18"/>
    <w:rsid w:val="001362B2"/>
    <w:rsid w:val="00146AC6"/>
    <w:rsid w:val="0015066C"/>
    <w:rsid w:val="00151515"/>
    <w:rsid w:val="00154EBC"/>
    <w:rsid w:val="001615BB"/>
    <w:rsid w:val="0016515B"/>
    <w:rsid w:val="00170010"/>
    <w:rsid w:val="001744B4"/>
    <w:rsid w:val="00174EB9"/>
    <w:rsid w:val="001770D9"/>
    <w:rsid w:val="00181E40"/>
    <w:rsid w:val="00185EF5"/>
    <w:rsid w:val="0018751D"/>
    <w:rsid w:val="001876DE"/>
    <w:rsid w:val="00190E7F"/>
    <w:rsid w:val="00191CA0"/>
    <w:rsid w:val="00193095"/>
    <w:rsid w:val="00193B54"/>
    <w:rsid w:val="00194218"/>
    <w:rsid w:val="0019509E"/>
    <w:rsid w:val="001A105F"/>
    <w:rsid w:val="001A3C02"/>
    <w:rsid w:val="001B189F"/>
    <w:rsid w:val="001B1E9E"/>
    <w:rsid w:val="001B287E"/>
    <w:rsid w:val="001B568C"/>
    <w:rsid w:val="001B756F"/>
    <w:rsid w:val="001B76D4"/>
    <w:rsid w:val="001C1310"/>
    <w:rsid w:val="001C2459"/>
    <w:rsid w:val="001D24FC"/>
    <w:rsid w:val="001D46C9"/>
    <w:rsid w:val="001E049B"/>
    <w:rsid w:val="001E377E"/>
    <w:rsid w:val="001E3F1E"/>
    <w:rsid w:val="001E4ADA"/>
    <w:rsid w:val="001E5572"/>
    <w:rsid w:val="001E7B6F"/>
    <w:rsid w:val="001F2A7D"/>
    <w:rsid w:val="001F4453"/>
    <w:rsid w:val="0020136A"/>
    <w:rsid w:val="002073C5"/>
    <w:rsid w:val="00220556"/>
    <w:rsid w:val="00220723"/>
    <w:rsid w:val="00224D86"/>
    <w:rsid w:val="00226530"/>
    <w:rsid w:val="002304D9"/>
    <w:rsid w:val="00234E43"/>
    <w:rsid w:val="00235051"/>
    <w:rsid w:val="00235835"/>
    <w:rsid w:val="00236847"/>
    <w:rsid w:val="00241420"/>
    <w:rsid w:val="00243A4A"/>
    <w:rsid w:val="00243E3D"/>
    <w:rsid w:val="00245674"/>
    <w:rsid w:val="00245ED5"/>
    <w:rsid w:val="0024792F"/>
    <w:rsid w:val="00254A5C"/>
    <w:rsid w:val="00255309"/>
    <w:rsid w:val="002558AC"/>
    <w:rsid w:val="00256629"/>
    <w:rsid w:val="00275DD9"/>
    <w:rsid w:val="0028118B"/>
    <w:rsid w:val="00281301"/>
    <w:rsid w:val="00281384"/>
    <w:rsid w:val="0028330F"/>
    <w:rsid w:val="00284C47"/>
    <w:rsid w:val="0029084B"/>
    <w:rsid w:val="00291D8E"/>
    <w:rsid w:val="00293536"/>
    <w:rsid w:val="002A7D3A"/>
    <w:rsid w:val="002B135E"/>
    <w:rsid w:val="002B505C"/>
    <w:rsid w:val="002B5817"/>
    <w:rsid w:val="002C55A0"/>
    <w:rsid w:val="002C7F12"/>
    <w:rsid w:val="002D13BC"/>
    <w:rsid w:val="002D28B0"/>
    <w:rsid w:val="002D3709"/>
    <w:rsid w:val="002D4EA3"/>
    <w:rsid w:val="002E2152"/>
    <w:rsid w:val="002E3EBE"/>
    <w:rsid w:val="002E459A"/>
    <w:rsid w:val="002E78A8"/>
    <w:rsid w:val="002E7C70"/>
    <w:rsid w:val="002F1645"/>
    <w:rsid w:val="002F3AF1"/>
    <w:rsid w:val="002F640A"/>
    <w:rsid w:val="002F7195"/>
    <w:rsid w:val="00302E0F"/>
    <w:rsid w:val="00306572"/>
    <w:rsid w:val="00306959"/>
    <w:rsid w:val="00307748"/>
    <w:rsid w:val="0031175F"/>
    <w:rsid w:val="00311BD3"/>
    <w:rsid w:val="00316EAA"/>
    <w:rsid w:val="003237AA"/>
    <w:rsid w:val="00325A8C"/>
    <w:rsid w:val="00333650"/>
    <w:rsid w:val="0033406F"/>
    <w:rsid w:val="00343582"/>
    <w:rsid w:val="00344AA5"/>
    <w:rsid w:val="00345ED2"/>
    <w:rsid w:val="003502EE"/>
    <w:rsid w:val="003526B2"/>
    <w:rsid w:val="00353027"/>
    <w:rsid w:val="0036081F"/>
    <w:rsid w:val="00363512"/>
    <w:rsid w:val="00367A4F"/>
    <w:rsid w:val="003714BC"/>
    <w:rsid w:val="00372688"/>
    <w:rsid w:val="0037284C"/>
    <w:rsid w:val="003740DD"/>
    <w:rsid w:val="003758F3"/>
    <w:rsid w:val="00376F62"/>
    <w:rsid w:val="003778DE"/>
    <w:rsid w:val="00381A1E"/>
    <w:rsid w:val="0038704C"/>
    <w:rsid w:val="0039151A"/>
    <w:rsid w:val="0039242C"/>
    <w:rsid w:val="00393659"/>
    <w:rsid w:val="00393A22"/>
    <w:rsid w:val="00394E90"/>
    <w:rsid w:val="00397750"/>
    <w:rsid w:val="00397CE8"/>
    <w:rsid w:val="003A5864"/>
    <w:rsid w:val="003A5AD6"/>
    <w:rsid w:val="003B46CF"/>
    <w:rsid w:val="003C12C8"/>
    <w:rsid w:val="003C1755"/>
    <w:rsid w:val="003C320B"/>
    <w:rsid w:val="003C3548"/>
    <w:rsid w:val="003C47DF"/>
    <w:rsid w:val="003C509F"/>
    <w:rsid w:val="003D4E20"/>
    <w:rsid w:val="003D7B82"/>
    <w:rsid w:val="003E211F"/>
    <w:rsid w:val="003E50D7"/>
    <w:rsid w:val="003F042C"/>
    <w:rsid w:val="003F0791"/>
    <w:rsid w:val="003F20AC"/>
    <w:rsid w:val="003F5F7E"/>
    <w:rsid w:val="003F713E"/>
    <w:rsid w:val="00411DDC"/>
    <w:rsid w:val="004139AF"/>
    <w:rsid w:val="00420E35"/>
    <w:rsid w:val="0042237E"/>
    <w:rsid w:val="00423629"/>
    <w:rsid w:val="00423E6E"/>
    <w:rsid w:val="00425C04"/>
    <w:rsid w:val="00431264"/>
    <w:rsid w:val="004334C9"/>
    <w:rsid w:val="00434A55"/>
    <w:rsid w:val="00434A5F"/>
    <w:rsid w:val="00435657"/>
    <w:rsid w:val="00437D50"/>
    <w:rsid w:val="00442636"/>
    <w:rsid w:val="00447893"/>
    <w:rsid w:val="00451935"/>
    <w:rsid w:val="00463102"/>
    <w:rsid w:val="00463666"/>
    <w:rsid w:val="004649C6"/>
    <w:rsid w:val="004666D5"/>
    <w:rsid w:val="00467C86"/>
    <w:rsid w:val="00470943"/>
    <w:rsid w:val="00480119"/>
    <w:rsid w:val="004823DE"/>
    <w:rsid w:val="00482E16"/>
    <w:rsid w:val="00486365"/>
    <w:rsid w:val="00492BDD"/>
    <w:rsid w:val="0049375F"/>
    <w:rsid w:val="00493D88"/>
    <w:rsid w:val="0049714C"/>
    <w:rsid w:val="004A14FD"/>
    <w:rsid w:val="004A18B7"/>
    <w:rsid w:val="004A2D86"/>
    <w:rsid w:val="004A3CB1"/>
    <w:rsid w:val="004A429B"/>
    <w:rsid w:val="004A44CA"/>
    <w:rsid w:val="004A530F"/>
    <w:rsid w:val="004A5F11"/>
    <w:rsid w:val="004B19FD"/>
    <w:rsid w:val="004B2349"/>
    <w:rsid w:val="004B2D84"/>
    <w:rsid w:val="004B707A"/>
    <w:rsid w:val="004C1D13"/>
    <w:rsid w:val="004D5767"/>
    <w:rsid w:val="004D58A0"/>
    <w:rsid w:val="004D6D52"/>
    <w:rsid w:val="004E3CBB"/>
    <w:rsid w:val="004E41AB"/>
    <w:rsid w:val="004F2269"/>
    <w:rsid w:val="004F2DE7"/>
    <w:rsid w:val="004F5422"/>
    <w:rsid w:val="00503B5E"/>
    <w:rsid w:val="00504C59"/>
    <w:rsid w:val="005077D7"/>
    <w:rsid w:val="0051060B"/>
    <w:rsid w:val="00515154"/>
    <w:rsid w:val="0051538A"/>
    <w:rsid w:val="00516CF4"/>
    <w:rsid w:val="00520A12"/>
    <w:rsid w:val="00527A59"/>
    <w:rsid w:val="0053263A"/>
    <w:rsid w:val="00535017"/>
    <w:rsid w:val="00540804"/>
    <w:rsid w:val="0054087F"/>
    <w:rsid w:val="00541266"/>
    <w:rsid w:val="00544D47"/>
    <w:rsid w:val="005457F3"/>
    <w:rsid w:val="00550C15"/>
    <w:rsid w:val="00551A3C"/>
    <w:rsid w:val="00555CAF"/>
    <w:rsid w:val="00556E9D"/>
    <w:rsid w:val="00557AF0"/>
    <w:rsid w:val="00561C3A"/>
    <w:rsid w:val="00571D6D"/>
    <w:rsid w:val="00573AE6"/>
    <w:rsid w:val="00574D86"/>
    <w:rsid w:val="005756A0"/>
    <w:rsid w:val="00577314"/>
    <w:rsid w:val="005779FF"/>
    <w:rsid w:val="00586FD9"/>
    <w:rsid w:val="0058784E"/>
    <w:rsid w:val="0059327A"/>
    <w:rsid w:val="00594A9C"/>
    <w:rsid w:val="00595310"/>
    <w:rsid w:val="00596D0A"/>
    <w:rsid w:val="005A697A"/>
    <w:rsid w:val="005B1BDB"/>
    <w:rsid w:val="005B51D7"/>
    <w:rsid w:val="005B79B4"/>
    <w:rsid w:val="005C41DC"/>
    <w:rsid w:val="005C65B2"/>
    <w:rsid w:val="005D0AD5"/>
    <w:rsid w:val="005D2856"/>
    <w:rsid w:val="005E0C94"/>
    <w:rsid w:val="005E58D2"/>
    <w:rsid w:val="005F0C40"/>
    <w:rsid w:val="005F1895"/>
    <w:rsid w:val="005F2CAF"/>
    <w:rsid w:val="005F3289"/>
    <w:rsid w:val="005F54FA"/>
    <w:rsid w:val="005F59C8"/>
    <w:rsid w:val="005F72E0"/>
    <w:rsid w:val="00600048"/>
    <w:rsid w:val="0060537B"/>
    <w:rsid w:val="0061092A"/>
    <w:rsid w:val="00611A2C"/>
    <w:rsid w:val="00611B5C"/>
    <w:rsid w:val="00611F10"/>
    <w:rsid w:val="006125CE"/>
    <w:rsid w:val="0062075C"/>
    <w:rsid w:val="00622AA5"/>
    <w:rsid w:val="00626986"/>
    <w:rsid w:val="00626FDE"/>
    <w:rsid w:val="00630841"/>
    <w:rsid w:val="00630F7E"/>
    <w:rsid w:val="0063111D"/>
    <w:rsid w:val="00631913"/>
    <w:rsid w:val="00634E41"/>
    <w:rsid w:val="00635B2E"/>
    <w:rsid w:val="00647B28"/>
    <w:rsid w:val="00651115"/>
    <w:rsid w:val="00651DF0"/>
    <w:rsid w:val="006709B2"/>
    <w:rsid w:val="006715E2"/>
    <w:rsid w:val="00672F5E"/>
    <w:rsid w:val="0067346B"/>
    <w:rsid w:val="0069007A"/>
    <w:rsid w:val="00696FD3"/>
    <w:rsid w:val="006A0F85"/>
    <w:rsid w:val="006A244E"/>
    <w:rsid w:val="006A4CFB"/>
    <w:rsid w:val="006A6A35"/>
    <w:rsid w:val="006B481C"/>
    <w:rsid w:val="006B5C6D"/>
    <w:rsid w:val="006D231A"/>
    <w:rsid w:val="006D402E"/>
    <w:rsid w:val="006D5592"/>
    <w:rsid w:val="006D6707"/>
    <w:rsid w:val="006E2CB9"/>
    <w:rsid w:val="006F1BBF"/>
    <w:rsid w:val="006F1FC2"/>
    <w:rsid w:val="006F2C2D"/>
    <w:rsid w:val="006F323B"/>
    <w:rsid w:val="006F5261"/>
    <w:rsid w:val="00700C2F"/>
    <w:rsid w:val="007054D4"/>
    <w:rsid w:val="007103A5"/>
    <w:rsid w:val="007124CB"/>
    <w:rsid w:val="00715046"/>
    <w:rsid w:val="007167B5"/>
    <w:rsid w:val="00721A03"/>
    <w:rsid w:val="00726203"/>
    <w:rsid w:val="007279AA"/>
    <w:rsid w:val="0073021C"/>
    <w:rsid w:val="00732752"/>
    <w:rsid w:val="0073321B"/>
    <w:rsid w:val="007407E8"/>
    <w:rsid w:val="0074492E"/>
    <w:rsid w:val="007465A6"/>
    <w:rsid w:val="00747CD2"/>
    <w:rsid w:val="007552B5"/>
    <w:rsid w:val="00755503"/>
    <w:rsid w:val="00755EA1"/>
    <w:rsid w:val="0076272B"/>
    <w:rsid w:val="007647C1"/>
    <w:rsid w:val="0077342F"/>
    <w:rsid w:val="00774432"/>
    <w:rsid w:val="00782B35"/>
    <w:rsid w:val="007856ED"/>
    <w:rsid w:val="007868E7"/>
    <w:rsid w:val="00787D0E"/>
    <w:rsid w:val="00793D3C"/>
    <w:rsid w:val="007947AE"/>
    <w:rsid w:val="00796C0F"/>
    <w:rsid w:val="00797FAF"/>
    <w:rsid w:val="007A1DF7"/>
    <w:rsid w:val="007A64A4"/>
    <w:rsid w:val="007A73E9"/>
    <w:rsid w:val="007A7969"/>
    <w:rsid w:val="007B049E"/>
    <w:rsid w:val="007B6AE7"/>
    <w:rsid w:val="007B7A05"/>
    <w:rsid w:val="007C1767"/>
    <w:rsid w:val="007C364A"/>
    <w:rsid w:val="007C7741"/>
    <w:rsid w:val="007D4128"/>
    <w:rsid w:val="007E241B"/>
    <w:rsid w:val="007E30A9"/>
    <w:rsid w:val="007E7340"/>
    <w:rsid w:val="007F04BC"/>
    <w:rsid w:val="007F1F32"/>
    <w:rsid w:val="007F2230"/>
    <w:rsid w:val="007F7DBB"/>
    <w:rsid w:val="0080463F"/>
    <w:rsid w:val="0081265C"/>
    <w:rsid w:val="00817289"/>
    <w:rsid w:val="00822718"/>
    <w:rsid w:val="0083051F"/>
    <w:rsid w:val="00832218"/>
    <w:rsid w:val="00834444"/>
    <w:rsid w:val="008368A1"/>
    <w:rsid w:val="00836D74"/>
    <w:rsid w:val="00840B17"/>
    <w:rsid w:val="0084161E"/>
    <w:rsid w:val="008433E5"/>
    <w:rsid w:val="00843A8F"/>
    <w:rsid w:val="008464CA"/>
    <w:rsid w:val="00855377"/>
    <w:rsid w:val="008576CB"/>
    <w:rsid w:val="00860474"/>
    <w:rsid w:val="008613DC"/>
    <w:rsid w:val="008615C8"/>
    <w:rsid w:val="00873399"/>
    <w:rsid w:val="00875AF7"/>
    <w:rsid w:val="008773E2"/>
    <w:rsid w:val="0088277F"/>
    <w:rsid w:val="00883588"/>
    <w:rsid w:val="00884870"/>
    <w:rsid w:val="00884DF3"/>
    <w:rsid w:val="00885CD2"/>
    <w:rsid w:val="00890459"/>
    <w:rsid w:val="008946E3"/>
    <w:rsid w:val="00897A31"/>
    <w:rsid w:val="008A254B"/>
    <w:rsid w:val="008A7822"/>
    <w:rsid w:val="008B0F76"/>
    <w:rsid w:val="008B1E4E"/>
    <w:rsid w:val="008B4B67"/>
    <w:rsid w:val="008B5A6C"/>
    <w:rsid w:val="008B7C92"/>
    <w:rsid w:val="008C0037"/>
    <w:rsid w:val="008C0540"/>
    <w:rsid w:val="008C456D"/>
    <w:rsid w:val="008C525F"/>
    <w:rsid w:val="008D1485"/>
    <w:rsid w:val="008D2B73"/>
    <w:rsid w:val="008D7175"/>
    <w:rsid w:val="008E6808"/>
    <w:rsid w:val="008F1304"/>
    <w:rsid w:val="008F1B26"/>
    <w:rsid w:val="008F41B4"/>
    <w:rsid w:val="008F4A34"/>
    <w:rsid w:val="008F77DE"/>
    <w:rsid w:val="00904BC1"/>
    <w:rsid w:val="0090635F"/>
    <w:rsid w:val="009178BA"/>
    <w:rsid w:val="00922232"/>
    <w:rsid w:val="00922C49"/>
    <w:rsid w:val="009230AC"/>
    <w:rsid w:val="00924CBA"/>
    <w:rsid w:val="009254EC"/>
    <w:rsid w:val="00926B21"/>
    <w:rsid w:val="00927917"/>
    <w:rsid w:val="0093049E"/>
    <w:rsid w:val="0093070B"/>
    <w:rsid w:val="00935339"/>
    <w:rsid w:val="0094224E"/>
    <w:rsid w:val="00942FEC"/>
    <w:rsid w:val="00943364"/>
    <w:rsid w:val="00952577"/>
    <w:rsid w:val="0095480E"/>
    <w:rsid w:val="00960651"/>
    <w:rsid w:val="00962211"/>
    <w:rsid w:val="0097154E"/>
    <w:rsid w:val="009742EE"/>
    <w:rsid w:val="0098024B"/>
    <w:rsid w:val="00980438"/>
    <w:rsid w:val="00981A35"/>
    <w:rsid w:val="00985DC7"/>
    <w:rsid w:val="009908B0"/>
    <w:rsid w:val="00994634"/>
    <w:rsid w:val="009978A9"/>
    <w:rsid w:val="009A21AC"/>
    <w:rsid w:val="009A2566"/>
    <w:rsid w:val="009B41DA"/>
    <w:rsid w:val="009C233A"/>
    <w:rsid w:val="009C2350"/>
    <w:rsid w:val="009C6556"/>
    <w:rsid w:val="009C6C4A"/>
    <w:rsid w:val="009D124E"/>
    <w:rsid w:val="009D614D"/>
    <w:rsid w:val="009D6597"/>
    <w:rsid w:val="009E10D7"/>
    <w:rsid w:val="009E5E31"/>
    <w:rsid w:val="009E702E"/>
    <w:rsid w:val="009F01DF"/>
    <w:rsid w:val="009F4A84"/>
    <w:rsid w:val="009F72B8"/>
    <w:rsid w:val="00A00C76"/>
    <w:rsid w:val="00A00E0C"/>
    <w:rsid w:val="00A0249F"/>
    <w:rsid w:val="00A03639"/>
    <w:rsid w:val="00A043C0"/>
    <w:rsid w:val="00A14D73"/>
    <w:rsid w:val="00A212DB"/>
    <w:rsid w:val="00A23228"/>
    <w:rsid w:val="00A2640A"/>
    <w:rsid w:val="00A26B9F"/>
    <w:rsid w:val="00A27180"/>
    <w:rsid w:val="00A32108"/>
    <w:rsid w:val="00A33774"/>
    <w:rsid w:val="00A350B1"/>
    <w:rsid w:val="00A36EC7"/>
    <w:rsid w:val="00A46883"/>
    <w:rsid w:val="00A52D4B"/>
    <w:rsid w:val="00A56BA0"/>
    <w:rsid w:val="00A65163"/>
    <w:rsid w:val="00A77796"/>
    <w:rsid w:val="00A84622"/>
    <w:rsid w:val="00A850AF"/>
    <w:rsid w:val="00A8600C"/>
    <w:rsid w:val="00A87524"/>
    <w:rsid w:val="00A91FB9"/>
    <w:rsid w:val="00A9304D"/>
    <w:rsid w:val="00A931F0"/>
    <w:rsid w:val="00A949BB"/>
    <w:rsid w:val="00A96BF0"/>
    <w:rsid w:val="00AA342A"/>
    <w:rsid w:val="00AA6CD2"/>
    <w:rsid w:val="00AB37AC"/>
    <w:rsid w:val="00AC63F2"/>
    <w:rsid w:val="00AD133B"/>
    <w:rsid w:val="00AD2BA1"/>
    <w:rsid w:val="00AD3170"/>
    <w:rsid w:val="00AD3A5E"/>
    <w:rsid w:val="00AD3EA2"/>
    <w:rsid w:val="00AD44A0"/>
    <w:rsid w:val="00AE1C11"/>
    <w:rsid w:val="00AF241C"/>
    <w:rsid w:val="00AF5A7A"/>
    <w:rsid w:val="00B00797"/>
    <w:rsid w:val="00B03E52"/>
    <w:rsid w:val="00B05AC2"/>
    <w:rsid w:val="00B20351"/>
    <w:rsid w:val="00B2040B"/>
    <w:rsid w:val="00B21253"/>
    <w:rsid w:val="00B275B8"/>
    <w:rsid w:val="00B34CAB"/>
    <w:rsid w:val="00B359C5"/>
    <w:rsid w:val="00B40312"/>
    <w:rsid w:val="00B451BE"/>
    <w:rsid w:val="00B478EE"/>
    <w:rsid w:val="00B5059E"/>
    <w:rsid w:val="00B5154F"/>
    <w:rsid w:val="00B53A74"/>
    <w:rsid w:val="00B55E82"/>
    <w:rsid w:val="00B61036"/>
    <w:rsid w:val="00B61BCE"/>
    <w:rsid w:val="00B65BC2"/>
    <w:rsid w:val="00B66D53"/>
    <w:rsid w:val="00B67A8D"/>
    <w:rsid w:val="00B72556"/>
    <w:rsid w:val="00B820D2"/>
    <w:rsid w:val="00B86B1F"/>
    <w:rsid w:val="00B87FBB"/>
    <w:rsid w:val="00B94DA6"/>
    <w:rsid w:val="00BA31B1"/>
    <w:rsid w:val="00BA33FC"/>
    <w:rsid w:val="00BA7357"/>
    <w:rsid w:val="00BB06D3"/>
    <w:rsid w:val="00BB448D"/>
    <w:rsid w:val="00BB53FB"/>
    <w:rsid w:val="00BB5D67"/>
    <w:rsid w:val="00BB705E"/>
    <w:rsid w:val="00BC270E"/>
    <w:rsid w:val="00BD351D"/>
    <w:rsid w:val="00BD37CB"/>
    <w:rsid w:val="00BD3F64"/>
    <w:rsid w:val="00BE27BE"/>
    <w:rsid w:val="00BE28D1"/>
    <w:rsid w:val="00BE6AE9"/>
    <w:rsid w:val="00BF0F08"/>
    <w:rsid w:val="00BF3D61"/>
    <w:rsid w:val="00BF7CC3"/>
    <w:rsid w:val="00C047DB"/>
    <w:rsid w:val="00C10E03"/>
    <w:rsid w:val="00C14571"/>
    <w:rsid w:val="00C14819"/>
    <w:rsid w:val="00C165DC"/>
    <w:rsid w:val="00C173A0"/>
    <w:rsid w:val="00C20C2F"/>
    <w:rsid w:val="00C23F28"/>
    <w:rsid w:val="00C2628E"/>
    <w:rsid w:val="00C34911"/>
    <w:rsid w:val="00C45508"/>
    <w:rsid w:val="00C46222"/>
    <w:rsid w:val="00C471DB"/>
    <w:rsid w:val="00C5049C"/>
    <w:rsid w:val="00C5366B"/>
    <w:rsid w:val="00C5465A"/>
    <w:rsid w:val="00C551A2"/>
    <w:rsid w:val="00C57CF4"/>
    <w:rsid w:val="00C60663"/>
    <w:rsid w:val="00C62905"/>
    <w:rsid w:val="00C634EB"/>
    <w:rsid w:val="00C661D0"/>
    <w:rsid w:val="00C72625"/>
    <w:rsid w:val="00C74200"/>
    <w:rsid w:val="00C80A68"/>
    <w:rsid w:val="00C81820"/>
    <w:rsid w:val="00C82B12"/>
    <w:rsid w:val="00C855BC"/>
    <w:rsid w:val="00CA2B17"/>
    <w:rsid w:val="00CA3183"/>
    <w:rsid w:val="00CB60AC"/>
    <w:rsid w:val="00CB7242"/>
    <w:rsid w:val="00CC634A"/>
    <w:rsid w:val="00CD200B"/>
    <w:rsid w:val="00CD7D07"/>
    <w:rsid w:val="00CE427D"/>
    <w:rsid w:val="00CE54B8"/>
    <w:rsid w:val="00CE5D09"/>
    <w:rsid w:val="00CF1699"/>
    <w:rsid w:val="00CF383E"/>
    <w:rsid w:val="00D065FD"/>
    <w:rsid w:val="00D124C0"/>
    <w:rsid w:val="00D12E64"/>
    <w:rsid w:val="00D1625D"/>
    <w:rsid w:val="00D2191C"/>
    <w:rsid w:val="00D230DB"/>
    <w:rsid w:val="00D33068"/>
    <w:rsid w:val="00D3595D"/>
    <w:rsid w:val="00D53059"/>
    <w:rsid w:val="00D5361A"/>
    <w:rsid w:val="00D60DE6"/>
    <w:rsid w:val="00D62318"/>
    <w:rsid w:val="00D7020F"/>
    <w:rsid w:val="00D733FE"/>
    <w:rsid w:val="00D746A6"/>
    <w:rsid w:val="00D75B2A"/>
    <w:rsid w:val="00D763B0"/>
    <w:rsid w:val="00D85BEC"/>
    <w:rsid w:val="00D87AB4"/>
    <w:rsid w:val="00D9217F"/>
    <w:rsid w:val="00DA02A7"/>
    <w:rsid w:val="00DA28CE"/>
    <w:rsid w:val="00DA5BDD"/>
    <w:rsid w:val="00DA73B3"/>
    <w:rsid w:val="00DB05AB"/>
    <w:rsid w:val="00DB59B9"/>
    <w:rsid w:val="00DB606A"/>
    <w:rsid w:val="00DB6BFE"/>
    <w:rsid w:val="00DB776F"/>
    <w:rsid w:val="00DC4E66"/>
    <w:rsid w:val="00DC60FF"/>
    <w:rsid w:val="00DD4D87"/>
    <w:rsid w:val="00DD5451"/>
    <w:rsid w:val="00DE0233"/>
    <w:rsid w:val="00DE030F"/>
    <w:rsid w:val="00DE0888"/>
    <w:rsid w:val="00DE3837"/>
    <w:rsid w:val="00DE7CCC"/>
    <w:rsid w:val="00DF7893"/>
    <w:rsid w:val="00E07499"/>
    <w:rsid w:val="00E20C7E"/>
    <w:rsid w:val="00E21806"/>
    <w:rsid w:val="00E32694"/>
    <w:rsid w:val="00E361EF"/>
    <w:rsid w:val="00E4623D"/>
    <w:rsid w:val="00E50686"/>
    <w:rsid w:val="00E5496C"/>
    <w:rsid w:val="00E63719"/>
    <w:rsid w:val="00E63ECE"/>
    <w:rsid w:val="00E64192"/>
    <w:rsid w:val="00E65A1A"/>
    <w:rsid w:val="00E712E4"/>
    <w:rsid w:val="00E736EF"/>
    <w:rsid w:val="00E777DE"/>
    <w:rsid w:val="00E77AC1"/>
    <w:rsid w:val="00E800FB"/>
    <w:rsid w:val="00E80122"/>
    <w:rsid w:val="00E817E1"/>
    <w:rsid w:val="00E84CF7"/>
    <w:rsid w:val="00E94380"/>
    <w:rsid w:val="00E957EF"/>
    <w:rsid w:val="00E95E1C"/>
    <w:rsid w:val="00EA4672"/>
    <w:rsid w:val="00EA5E93"/>
    <w:rsid w:val="00EB18B0"/>
    <w:rsid w:val="00EB7807"/>
    <w:rsid w:val="00EC453A"/>
    <w:rsid w:val="00EC67F8"/>
    <w:rsid w:val="00EE01B0"/>
    <w:rsid w:val="00EE1130"/>
    <w:rsid w:val="00EE17C2"/>
    <w:rsid w:val="00EE474F"/>
    <w:rsid w:val="00EE665D"/>
    <w:rsid w:val="00EF1043"/>
    <w:rsid w:val="00EF3B90"/>
    <w:rsid w:val="00F00102"/>
    <w:rsid w:val="00F0101B"/>
    <w:rsid w:val="00F06C99"/>
    <w:rsid w:val="00F06FCD"/>
    <w:rsid w:val="00F10E11"/>
    <w:rsid w:val="00F114F5"/>
    <w:rsid w:val="00F16F90"/>
    <w:rsid w:val="00F20A8C"/>
    <w:rsid w:val="00F22118"/>
    <w:rsid w:val="00F22B31"/>
    <w:rsid w:val="00F32A83"/>
    <w:rsid w:val="00F35346"/>
    <w:rsid w:val="00F408B6"/>
    <w:rsid w:val="00F42A52"/>
    <w:rsid w:val="00F434A9"/>
    <w:rsid w:val="00F51ACF"/>
    <w:rsid w:val="00F530E8"/>
    <w:rsid w:val="00F6171D"/>
    <w:rsid w:val="00F61DBB"/>
    <w:rsid w:val="00F63B13"/>
    <w:rsid w:val="00F63D83"/>
    <w:rsid w:val="00F675C1"/>
    <w:rsid w:val="00F74A53"/>
    <w:rsid w:val="00F8261B"/>
    <w:rsid w:val="00F83A01"/>
    <w:rsid w:val="00F905AC"/>
    <w:rsid w:val="00F921DA"/>
    <w:rsid w:val="00F9268C"/>
    <w:rsid w:val="00F92887"/>
    <w:rsid w:val="00F93149"/>
    <w:rsid w:val="00FA1F6D"/>
    <w:rsid w:val="00FA234E"/>
    <w:rsid w:val="00FA3144"/>
    <w:rsid w:val="00FA3D40"/>
    <w:rsid w:val="00FA7434"/>
    <w:rsid w:val="00FB12B4"/>
    <w:rsid w:val="00FB26C6"/>
    <w:rsid w:val="00FC0383"/>
    <w:rsid w:val="00FC3DA2"/>
    <w:rsid w:val="00FC6B1B"/>
    <w:rsid w:val="00FC6D96"/>
    <w:rsid w:val="00FC7AF4"/>
    <w:rsid w:val="00FD420B"/>
    <w:rsid w:val="00FD6266"/>
    <w:rsid w:val="00FD7E7D"/>
    <w:rsid w:val="00FE3CEC"/>
    <w:rsid w:val="00FE4808"/>
    <w:rsid w:val="00FE5FF7"/>
    <w:rsid w:val="00FF556A"/>
    <w:rsid w:val="00FF6AAC"/>
    <w:rsid w:val="00FF6B02"/>
    <w:rsid w:val="013712F7"/>
    <w:rsid w:val="013E61E2"/>
    <w:rsid w:val="01424432"/>
    <w:rsid w:val="015679D0"/>
    <w:rsid w:val="02467A44"/>
    <w:rsid w:val="02D432A2"/>
    <w:rsid w:val="07852DBD"/>
    <w:rsid w:val="07C03DF5"/>
    <w:rsid w:val="099512B1"/>
    <w:rsid w:val="09C14DD3"/>
    <w:rsid w:val="09CF47C3"/>
    <w:rsid w:val="09EC7123"/>
    <w:rsid w:val="0A8729A8"/>
    <w:rsid w:val="0ADD4CBE"/>
    <w:rsid w:val="0BE91440"/>
    <w:rsid w:val="0C1B5A9E"/>
    <w:rsid w:val="0CF4009D"/>
    <w:rsid w:val="0DA63A8D"/>
    <w:rsid w:val="0E9D6C3E"/>
    <w:rsid w:val="0FF52AA9"/>
    <w:rsid w:val="10234F21"/>
    <w:rsid w:val="11561326"/>
    <w:rsid w:val="11EE155E"/>
    <w:rsid w:val="137A57A0"/>
    <w:rsid w:val="143A6CDD"/>
    <w:rsid w:val="14BE16BC"/>
    <w:rsid w:val="15632263"/>
    <w:rsid w:val="17F17FFA"/>
    <w:rsid w:val="18616F2E"/>
    <w:rsid w:val="18C96881"/>
    <w:rsid w:val="1A9F3D3E"/>
    <w:rsid w:val="1AB23A71"/>
    <w:rsid w:val="1AC84AFB"/>
    <w:rsid w:val="1AE96D67"/>
    <w:rsid w:val="1B7E3953"/>
    <w:rsid w:val="1BC81072"/>
    <w:rsid w:val="1C34159B"/>
    <w:rsid w:val="1C71170A"/>
    <w:rsid w:val="1CF77E61"/>
    <w:rsid w:val="1D660B43"/>
    <w:rsid w:val="1DAF4298"/>
    <w:rsid w:val="1E6F03CE"/>
    <w:rsid w:val="1FD04999"/>
    <w:rsid w:val="208732AA"/>
    <w:rsid w:val="2322550C"/>
    <w:rsid w:val="23DF51AB"/>
    <w:rsid w:val="241E5CD3"/>
    <w:rsid w:val="252B074F"/>
    <w:rsid w:val="278C09CE"/>
    <w:rsid w:val="27A6495D"/>
    <w:rsid w:val="27B64475"/>
    <w:rsid w:val="27C34C38"/>
    <w:rsid w:val="280D678A"/>
    <w:rsid w:val="2917155B"/>
    <w:rsid w:val="29325D7D"/>
    <w:rsid w:val="29345F99"/>
    <w:rsid w:val="293712A2"/>
    <w:rsid w:val="2A1E52F4"/>
    <w:rsid w:val="2A8B3997"/>
    <w:rsid w:val="2BF11F1F"/>
    <w:rsid w:val="2C3F712F"/>
    <w:rsid w:val="2C8B2374"/>
    <w:rsid w:val="2D8A262B"/>
    <w:rsid w:val="2E9F62E3"/>
    <w:rsid w:val="2ED00512"/>
    <w:rsid w:val="2F542EF1"/>
    <w:rsid w:val="307D1FD3"/>
    <w:rsid w:val="30E738F1"/>
    <w:rsid w:val="31E56082"/>
    <w:rsid w:val="32B141B6"/>
    <w:rsid w:val="32D85BE7"/>
    <w:rsid w:val="33666DC5"/>
    <w:rsid w:val="339733AC"/>
    <w:rsid w:val="341B3FDD"/>
    <w:rsid w:val="37411FAD"/>
    <w:rsid w:val="381417C1"/>
    <w:rsid w:val="38727AA0"/>
    <w:rsid w:val="38BF587F"/>
    <w:rsid w:val="395C1320"/>
    <w:rsid w:val="39B50A30"/>
    <w:rsid w:val="3A886D7E"/>
    <w:rsid w:val="3BD31641"/>
    <w:rsid w:val="3C1D6C9E"/>
    <w:rsid w:val="3C2D6FA3"/>
    <w:rsid w:val="3CAF79B9"/>
    <w:rsid w:val="3D436A39"/>
    <w:rsid w:val="3EE53B65"/>
    <w:rsid w:val="3F7B64AE"/>
    <w:rsid w:val="41424291"/>
    <w:rsid w:val="4162149D"/>
    <w:rsid w:val="419A6437"/>
    <w:rsid w:val="41AA4BF2"/>
    <w:rsid w:val="422F3499"/>
    <w:rsid w:val="42CF2B62"/>
    <w:rsid w:val="446C43E1"/>
    <w:rsid w:val="460C5E7C"/>
    <w:rsid w:val="46CC73B9"/>
    <w:rsid w:val="474143C4"/>
    <w:rsid w:val="47AA14A8"/>
    <w:rsid w:val="4A8E6E5F"/>
    <w:rsid w:val="4B117A90"/>
    <w:rsid w:val="4B62209A"/>
    <w:rsid w:val="4BE34F89"/>
    <w:rsid w:val="4C453E95"/>
    <w:rsid w:val="4D8B3B2A"/>
    <w:rsid w:val="4E546612"/>
    <w:rsid w:val="517B3EB5"/>
    <w:rsid w:val="51BF0246"/>
    <w:rsid w:val="523F1387"/>
    <w:rsid w:val="52F4613F"/>
    <w:rsid w:val="544B4013"/>
    <w:rsid w:val="54556C40"/>
    <w:rsid w:val="54CB6F02"/>
    <w:rsid w:val="55911EF9"/>
    <w:rsid w:val="55DA564E"/>
    <w:rsid w:val="561B495D"/>
    <w:rsid w:val="565D002E"/>
    <w:rsid w:val="572B3C88"/>
    <w:rsid w:val="57790E97"/>
    <w:rsid w:val="57C12AC9"/>
    <w:rsid w:val="586B07E0"/>
    <w:rsid w:val="58753DB9"/>
    <w:rsid w:val="590429E2"/>
    <w:rsid w:val="59CD7278"/>
    <w:rsid w:val="59E835F2"/>
    <w:rsid w:val="5AEF3164"/>
    <w:rsid w:val="5B321A89"/>
    <w:rsid w:val="5C814A76"/>
    <w:rsid w:val="5CBF688D"/>
    <w:rsid w:val="5D1D193E"/>
    <w:rsid w:val="5D3A4C25"/>
    <w:rsid w:val="5D437F7D"/>
    <w:rsid w:val="5D641CA2"/>
    <w:rsid w:val="5D663C6C"/>
    <w:rsid w:val="5D7C523D"/>
    <w:rsid w:val="5E2C27BF"/>
    <w:rsid w:val="5EFD78B5"/>
    <w:rsid w:val="608368E3"/>
    <w:rsid w:val="61F061FA"/>
    <w:rsid w:val="628E1C9B"/>
    <w:rsid w:val="62F35FA1"/>
    <w:rsid w:val="6429154F"/>
    <w:rsid w:val="64E773FC"/>
    <w:rsid w:val="653B3C30"/>
    <w:rsid w:val="65530F79"/>
    <w:rsid w:val="65752C9E"/>
    <w:rsid w:val="666A657B"/>
    <w:rsid w:val="670D6F06"/>
    <w:rsid w:val="6727446C"/>
    <w:rsid w:val="679338AF"/>
    <w:rsid w:val="67DC5256"/>
    <w:rsid w:val="6864524C"/>
    <w:rsid w:val="6B56531F"/>
    <w:rsid w:val="6CBE13CE"/>
    <w:rsid w:val="6D0D378B"/>
    <w:rsid w:val="6DD25368"/>
    <w:rsid w:val="6E056B89"/>
    <w:rsid w:val="6E3556C0"/>
    <w:rsid w:val="6E3E2584"/>
    <w:rsid w:val="6E4B6C92"/>
    <w:rsid w:val="6F045092"/>
    <w:rsid w:val="6F9401C4"/>
    <w:rsid w:val="70EE5FFA"/>
    <w:rsid w:val="71267542"/>
    <w:rsid w:val="71FD64F5"/>
    <w:rsid w:val="733F2B3D"/>
    <w:rsid w:val="73770529"/>
    <w:rsid w:val="73DF6315"/>
    <w:rsid w:val="74542618"/>
    <w:rsid w:val="750162FC"/>
    <w:rsid w:val="76943CDE"/>
    <w:rsid w:val="76AB127A"/>
    <w:rsid w:val="77BA4E88"/>
    <w:rsid w:val="786A065C"/>
    <w:rsid w:val="78A82F32"/>
    <w:rsid w:val="797A5F8B"/>
    <w:rsid w:val="7A48566D"/>
    <w:rsid w:val="7B310FBD"/>
    <w:rsid w:val="7C3C2310"/>
    <w:rsid w:val="7C686C61"/>
    <w:rsid w:val="7E4234E1"/>
    <w:rsid w:val="7EB97C47"/>
    <w:rsid w:val="7FCE3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80"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21"/>
    <w:qFormat/>
    <w:uiPriority w:val="9"/>
    <w:pPr>
      <w:keepNext/>
      <w:keepLines/>
      <w:outlineLvl w:val="0"/>
    </w:pPr>
    <w:rPr>
      <w:b/>
      <w:bCs/>
      <w:kern w:val="44"/>
      <w:szCs w:val="44"/>
    </w:rPr>
  </w:style>
  <w:style w:type="paragraph" w:styleId="3">
    <w:name w:val="heading 2"/>
    <w:basedOn w:val="1"/>
    <w:next w:val="1"/>
    <w:link w:val="22"/>
    <w:unhideWhenUsed/>
    <w:qFormat/>
    <w:uiPriority w:val="9"/>
    <w:pPr>
      <w:keepNext/>
      <w:keepLines/>
      <w:outlineLvl w:val="1"/>
    </w:pPr>
    <w:rPr>
      <w:rFonts w:asciiTheme="majorHAnsi" w:hAnsiTheme="majorHAnsi" w:eastAsiaTheme="majorEastAsia" w:cstheme="majorBidi"/>
      <w:b/>
      <w:bCs/>
      <w:szCs w:val="32"/>
    </w:rPr>
  </w:style>
  <w:style w:type="paragraph" w:styleId="4">
    <w:name w:val="heading 3"/>
    <w:basedOn w:val="1"/>
    <w:next w:val="1"/>
    <w:link w:val="23"/>
    <w:unhideWhenUsed/>
    <w:qFormat/>
    <w:uiPriority w:val="9"/>
    <w:pPr>
      <w:keepNext/>
      <w:keepLines/>
      <w:outlineLvl w:val="2"/>
    </w:pPr>
    <w:rPr>
      <w:b/>
      <w:bCs/>
      <w:szCs w:val="32"/>
    </w:rPr>
  </w:style>
  <w:style w:type="paragraph" w:styleId="5">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4"/>
    <w:unhideWhenUsed/>
    <w:qFormat/>
    <w:uiPriority w:val="99"/>
    <w:pPr>
      <w:jc w:val="left"/>
    </w:pPr>
  </w:style>
  <w:style w:type="paragraph" w:styleId="7">
    <w:name w:val="Date"/>
    <w:basedOn w:val="1"/>
    <w:next w:val="1"/>
    <w:link w:val="53"/>
    <w:semiHidden/>
    <w:unhideWhenUsed/>
    <w:qFormat/>
    <w:uiPriority w:val="99"/>
    <w:pPr>
      <w:ind w:left="100" w:leftChars="2500"/>
    </w:pPr>
  </w:style>
  <w:style w:type="paragraph" w:styleId="8">
    <w:name w:val="Balloon Text"/>
    <w:basedOn w:val="1"/>
    <w:link w:val="26"/>
    <w:semiHidden/>
    <w:unhideWhenUsed/>
    <w:qFormat/>
    <w:uiPriority w:val="99"/>
    <w:rPr>
      <w:sz w:val="18"/>
      <w:szCs w:val="18"/>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header"/>
    <w:basedOn w:val="1"/>
    <w:link w:val="19"/>
    <w:unhideWhenUsed/>
    <w:qFormat/>
    <w:uiPriority w:val="0"/>
    <w:pPr>
      <w:framePr w:wrap="notBeside" w:vAnchor="page" w:hAnchor="page" w:x="1372" w:y="568"/>
      <w:pBdr>
        <w:bottom w:val="single" w:color="auto" w:sz="6" w:space="1"/>
      </w:pBdr>
      <w:snapToGrid w:val="0"/>
      <w:spacing w:line="240" w:lineRule="auto"/>
      <w:ind w:firstLine="0" w:firstLineChars="0"/>
    </w:pPr>
    <w:rPr>
      <w:sz w:val="18"/>
      <w:szCs w:val="18"/>
    </w:rPr>
  </w:style>
  <w:style w:type="paragraph" w:styleId="11">
    <w:name w:val="toc 1"/>
    <w:basedOn w:val="1"/>
    <w:next w:val="1"/>
    <w:qFormat/>
    <w:uiPriority w:val="39"/>
    <w:pPr>
      <w:adjustRightInd w:val="0"/>
      <w:spacing w:line="300" w:lineRule="exact"/>
      <w:ind w:firstLine="0" w:firstLineChars="0"/>
    </w:pPr>
    <w:rPr>
      <w:rFonts w:ascii="宋体" w:hAnsi="宋体" w:eastAsia="宋体" w:cs="Times New Roman"/>
      <w:sz w:val="21"/>
      <w:szCs w:val="21"/>
    </w:rPr>
  </w:style>
  <w:style w:type="paragraph" w:styleId="12">
    <w:name w:val="toc 2"/>
    <w:basedOn w:val="1"/>
    <w:next w:val="1"/>
    <w:qFormat/>
    <w:uiPriority w:val="39"/>
    <w:pPr>
      <w:tabs>
        <w:tab w:val="right" w:leader="dot" w:pos="9344"/>
      </w:tabs>
      <w:adjustRightInd w:val="0"/>
      <w:spacing w:line="300" w:lineRule="exact"/>
      <w:ind w:left="210" w:firstLine="0" w:firstLineChars="0"/>
    </w:pPr>
    <w:rPr>
      <w:rFonts w:ascii="宋体" w:hAnsi="宋体" w:eastAsia="宋体" w:cs="Times New Roman"/>
      <w:sz w:val="21"/>
      <w:szCs w:val="21"/>
    </w:rPr>
  </w:style>
  <w:style w:type="paragraph" w:styleId="13">
    <w:name w:val="annotation subject"/>
    <w:basedOn w:val="6"/>
    <w:next w:val="6"/>
    <w:link w:val="25"/>
    <w:semiHidden/>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color w:val="0563C1" w:themeColor="hyperlink"/>
      <w:u w:val="single"/>
      <w14:textFill>
        <w14:solidFill>
          <w14:schemeClr w14:val="hlink"/>
        </w14:solidFill>
      </w14:textFill>
    </w:rPr>
  </w:style>
  <w:style w:type="character" w:styleId="18">
    <w:name w:val="annotation reference"/>
    <w:basedOn w:val="16"/>
    <w:semiHidden/>
    <w:unhideWhenUsed/>
    <w:qFormat/>
    <w:uiPriority w:val="99"/>
    <w:rPr>
      <w:sz w:val="21"/>
      <w:szCs w:val="21"/>
    </w:rPr>
  </w:style>
  <w:style w:type="character" w:customStyle="1" w:styleId="19">
    <w:name w:val="页眉 字符"/>
    <w:basedOn w:val="16"/>
    <w:link w:val="10"/>
    <w:qFormat/>
    <w:uiPriority w:val="0"/>
    <w:rPr>
      <w:kern w:val="2"/>
      <w:sz w:val="18"/>
      <w:szCs w:val="18"/>
    </w:rPr>
  </w:style>
  <w:style w:type="character" w:customStyle="1" w:styleId="20">
    <w:name w:val="页脚 字符"/>
    <w:basedOn w:val="16"/>
    <w:link w:val="9"/>
    <w:qFormat/>
    <w:uiPriority w:val="99"/>
    <w:rPr>
      <w:sz w:val="18"/>
      <w:szCs w:val="18"/>
    </w:rPr>
  </w:style>
  <w:style w:type="character" w:customStyle="1" w:styleId="21">
    <w:name w:val="标题 1 字符"/>
    <w:basedOn w:val="16"/>
    <w:link w:val="2"/>
    <w:qFormat/>
    <w:uiPriority w:val="9"/>
    <w:rPr>
      <w:b/>
      <w:bCs/>
      <w:kern w:val="44"/>
      <w:sz w:val="24"/>
      <w:szCs w:val="44"/>
    </w:rPr>
  </w:style>
  <w:style w:type="character" w:customStyle="1" w:styleId="22">
    <w:name w:val="标题 2 字符"/>
    <w:basedOn w:val="16"/>
    <w:link w:val="3"/>
    <w:qFormat/>
    <w:uiPriority w:val="9"/>
    <w:rPr>
      <w:rFonts w:asciiTheme="majorHAnsi" w:hAnsiTheme="majorHAnsi" w:eastAsiaTheme="majorEastAsia" w:cstheme="majorBidi"/>
      <w:b/>
      <w:bCs/>
      <w:sz w:val="24"/>
      <w:szCs w:val="32"/>
    </w:rPr>
  </w:style>
  <w:style w:type="character" w:customStyle="1" w:styleId="23">
    <w:name w:val="标题 3 字符"/>
    <w:basedOn w:val="16"/>
    <w:link w:val="4"/>
    <w:qFormat/>
    <w:uiPriority w:val="9"/>
    <w:rPr>
      <w:b/>
      <w:bCs/>
      <w:sz w:val="24"/>
      <w:szCs w:val="32"/>
    </w:rPr>
  </w:style>
  <w:style w:type="character" w:customStyle="1" w:styleId="24">
    <w:name w:val="批注文字 字符"/>
    <w:basedOn w:val="16"/>
    <w:link w:val="6"/>
    <w:qFormat/>
    <w:uiPriority w:val="99"/>
  </w:style>
  <w:style w:type="character" w:customStyle="1" w:styleId="25">
    <w:name w:val="批注主题 字符"/>
    <w:basedOn w:val="24"/>
    <w:link w:val="13"/>
    <w:semiHidden/>
    <w:qFormat/>
    <w:uiPriority w:val="99"/>
    <w:rPr>
      <w:b/>
      <w:bCs/>
    </w:rPr>
  </w:style>
  <w:style w:type="character" w:customStyle="1" w:styleId="26">
    <w:name w:val="批注框文本 字符"/>
    <w:basedOn w:val="16"/>
    <w:link w:val="8"/>
    <w:semiHidden/>
    <w:qFormat/>
    <w:uiPriority w:val="99"/>
    <w:rPr>
      <w:sz w:val="18"/>
      <w:szCs w:val="18"/>
    </w:rPr>
  </w:style>
  <w:style w:type="character" w:styleId="27">
    <w:name w:val="Placeholder Text"/>
    <w:basedOn w:val="16"/>
    <w:semiHidden/>
    <w:qFormat/>
    <w:uiPriority w:val="99"/>
    <w:rPr>
      <w:color w:val="808080"/>
    </w:rPr>
  </w:style>
  <w:style w:type="paragraph" w:styleId="28">
    <w:name w:val="List Paragraph"/>
    <w:basedOn w:val="1"/>
    <w:qFormat/>
    <w:uiPriority w:val="99"/>
    <w:pPr>
      <w:ind w:firstLine="420"/>
    </w:pPr>
  </w:style>
  <w:style w:type="paragraph" w:customStyle="1" w:styleId="29">
    <w:name w:val="修订1"/>
    <w:hidden/>
    <w:semiHidden/>
    <w:qFormat/>
    <w:uiPriority w:val="99"/>
    <w:rPr>
      <w:rFonts w:asciiTheme="minorHAnsi" w:hAnsiTheme="minorHAnsi" w:eastAsiaTheme="minorEastAsia" w:cstheme="minorBidi"/>
      <w:kern w:val="2"/>
      <w:sz w:val="24"/>
      <w:szCs w:val="24"/>
      <w:lang w:val="en-US" w:eastAsia="zh-CN" w:bidi="ar-SA"/>
    </w:rPr>
  </w:style>
  <w:style w:type="character" w:customStyle="1" w:styleId="30">
    <w:name w:val="标题 4 字符"/>
    <w:basedOn w:val="16"/>
    <w:link w:val="5"/>
    <w:semiHidden/>
    <w:qFormat/>
    <w:uiPriority w:val="9"/>
    <w:rPr>
      <w:rFonts w:asciiTheme="majorHAnsi" w:hAnsiTheme="majorHAnsi" w:eastAsiaTheme="majorEastAsia" w:cstheme="majorBidi"/>
      <w:b/>
      <w:bCs/>
      <w:kern w:val="2"/>
      <w:sz w:val="28"/>
      <w:szCs w:val="28"/>
    </w:rPr>
  </w:style>
  <w:style w:type="paragraph" w:customStyle="1" w:styleId="3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33">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3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3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6">
    <w:name w:val="标准文件_页眉奇数页"/>
    <w:next w:val="1"/>
    <w:qFormat/>
    <w:uiPriority w:val="0"/>
    <w:pPr>
      <w:tabs>
        <w:tab w:val="center" w:pos="4154"/>
        <w:tab w:val="right" w:pos="8306"/>
      </w:tabs>
      <w:spacing w:after="120"/>
      <w:jc w:val="right"/>
    </w:pPr>
    <w:rPr>
      <w:rFonts w:ascii="黑体" w:hAnsi="Times New Roman" w:eastAsia="黑体" w:cs="Times New Roman"/>
      <w:sz w:val="21"/>
      <w:lang w:val="en-US" w:eastAsia="zh-CN" w:bidi="ar-SA"/>
    </w:rPr>
  </w:style>
  <w:style w:type="paragraph" w:customStyle="1" w:styleId="37">
    <w:name w:val="标准文件_页眉偶数页"/>
    <w:basedOn w:val="36"/>
    <w:next w:val="1"/>
    <w:qFormat/>
    <w:uiPriority w:val="0"/>
    <w:pPr>
      <w:jc w:val="left"/>
    </w:pPr>
  </w:style>
  <w:style w:type="paragraph" w:customStyle="1" w:styleId="38">
    <w:name w:val="标准文件_前言、引言标题"/>
    <w:next w:val="1"/>
    <w:qFormat/>
    <w:uiPriority w:val="0"/>
    <w:pPr>
      <w:shd w:val="clear" w:color="FFFFFF" w:fill="FFFFFF"/>
      <w:spacing w:after="468"/>
      <w:jc w:val="center"/>
      <w:outlineLvl w:val="0"/>
    </w:pPr>
    <w:rPr>
      <w:rFonts w:ascii="黑体" w:hAnsi="Times New Roman" w:eastAsia="黑体" w:cs="Times New Roman"/>
      <w:sz w:val="32"/>
      <w:lang w:val="en-US" w:eastAsia="zh-CN" w:bidi="ar-SA"/>
    </w:rPr>
  </w:style>
  <w:style w:type="paragraph" w:customStyle="1" w:styleId="39">
    <w:name w:val="标准文件_目录标题"/>
    <w:basedOn w:val="1"/>
    <w:qFormat/>
    <w:uiPriority w:val="0"/>
    <w:pPr>
      <w:adjustRightInd w:val="0"/>
      <w:spacing w:after="468" w:line="240" w:lineRule="auto"/>
      <w:ind w:firstLine="0" w:firstLineChars="0"/>
      <w:jc w:val="center"/>
    </w:pPr>
    <w:rPr>
      <w:rFonts w:ascii="黑体" w:hAnsi="Calibri" w:eastAsia="黑体" w:cs="Times New Roman"/>
      <w:sz w:val="32"/>
      <w:szCs w:val="21"/>
    </w:rPr>
  </w:style>
  <w:style w:type="paragraph" w:customStyle="1" w:styleId="4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41">
    <w:name w:val="其他发布部门"/>
    <w:basedOn w:val="1"/>
    <w:qFormat/>
    <w:uiPriority w:val="0"/>
    <w:pPr>
      <w:framePr w:w="2942" w:h="777" w:hRule="exact" w:hSpace="181" w:vSpace="181" w:wrap="around" w:vAnchor="page" w:hAnchor="page" w:x="4133" w:y="15145" w:anchorLock="1"/>
      <w:widowControl/>
      <w:spacing w:line="0" w:lineRule="atLeast"/>
      <w:ind w:firstLine="0" w:firstLineChars="0"/>
      <w:jc w:val="distribute"/>
    </w:pPr>
    <w:rPr>
      <w:rFonts w:ascii="黑体" w:hAnsi="Times New Roman" w:eastAsia="黑体" w:cs="Times New Roman"/>
      <w:w w:val="135"/>
      <w:kern w:val="0"/>
      <w:sz w:val="36"/>
      <w:szCs w:val="20"/>
    </w:rPr>
  </w:style>
  <w:style w:type="paragraph" w:customStyle="1" w:styleId="42">
    <w:name w:val="其他发布日期"/>
    <w:basedOn w:val="1"/>
    <w:qFormat/>
    <w:uiPriority w:val="0"/>
    <w:pPr>
      <w:framePr w:w="3997" w:h="471" w:hRule="exact" w:hSpace="180" w:vSpace="181" w:wrap="around" w:vAnchor="page" w:hAnchor="page" w:x="1419" w:y="14097" w:anchorLock="1"/>
      <w:widowControl/>
      <w:spacing w:line="240" w:lineRule="auto"/>
      <w:ind w:firstLine="0" w:firstLineChars="0"/>
      <w:jc w:val="left"/>
    </w:pPr>
    <w:rPr>
      <w:rFonts w:ascii="Times New Roman" w:hAnsi="Times New Roman" w:eastAsia="黑体" w:cs="Times New Roman"/>
      <w:kern w:val="0"/>
      <w:sz w:val="28"/>
      <w:szCs w:val="20"/>
    </w:rPr>
  </w:style>
  <w:style w:type="paragraph" w:customStyle="1" w:styleId="43">
    <w:name w:val="其他实施日期"/>
    <w:basedOn w:val="1"/>
    <w:qFormat/>
    <w:uiPriority w:val="0"/>
    <w:pPr>
      <w:framePr w:w="3997" w:h="471" w:hRule="exact" w:hSpace="180" w:vSpace="181" w:wrap="around" w:vAnchor="page" w:hAnchor="page" w:x="7089" w:y="14097" w:anchorLock="1"/>
      <w:widowControl/>
      <w:spacing w:line="240" w:lineRule="auto"/>
      <w:ind w:firstLine="0" w:firstLineChars="0"/>
      <w:jc w:val="right"/>
    </w:pPr>
    <w:rPr>
      <w:rFonts w:ascii="Times New Roman" w:hAnsi="Times New Roman" w:eastAsia="黑体" w:cs="Times New Roman"/>
      <w:kern w:val="0"/>
      <w:sz w:val="28"/>
      <w:szCs w:val="20"/>
    </w:rPr>
  </w:style>
  <w:style w:type="paragraph" w:customStyle="1" w:styleId="44">
    <w:name w:val="标准文件_文件编号"/>
    <w:basedOn w:val="35"/>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45">
    <w:name w:val="标准文件_替换文件编号"/>
    <w:basedOn w:val="44"/>
    <w:qFormat/>
    <w:uiPriority w:val="0"/>
    <w:pPr>
      <w:framePr w:wrap="around"/>
      <w:spacing w:before="57"/>
    </w:pPr>
    <w:rPr>
      <w:sz w:val="21"/>
    </w:rPr>
  </w:style>
  <w:style w:type="paragraph" w:customStyle="1" w:styleId="46">
    <w:name w:val="标准文件_文件名称"/>
    <w:basedOn w:val="35"/>
    <w:next w:val="35"/>
    <w:qFormat/>
    <w:uiPriority w:val="0"/>
    <w:pPr>
      <w:framePr w:w="9639" w:h="6976" w:hRule="exact" w:wrap="around" w:vAnchor="page" w:hAnchor="page" w:y="6408"/>
      <w:autoSpaceDE/>
      <w:autoSpaceDN/>
      <w:spacing w:line="700" w:lineRule="exact"/>
      <w:ind w:firstLine="0" w:firstLineChars="0"/>
      <w:jc w:val="center"/>
    </w:pPr>
    <w:rPr>
      <w:rFonts w:ascii="黑体" w:eastAsia="黑体"/>
      <w:bCs/>
      <w:sz w:val="52"/>
    </w:rPr>
  </w:style>
  <w:style w:type="paragraph" w:customStyle="1" w:styleId="47">
    <w:name w:val="标准文件_引言一级条标题"/>
    <w:basedOn w:val="35"/>
    <w:next w:val="35"/>
    <w:qFormat/>
    <w:uiPriority w:val="0"/>
    <w:pPr>
      <w:numPr>
        <w:ilvl w:val="1"/>
        <w:numId w:val="1"/>
      </w:numPr>
      <w:spacing w:before="50" w:beforeLines="50" w:after="50" w:afterLines="50"/>
      <w:ind w:firstLine="0" w:firstLineChars="0"/>
    </w:pPr>
    <w:rPr>
      <w:rFonts w:ascii="黑体" w:eastAsia="黑体"/>
    </w:rPr>
  </w:style>
  <w:style w:type="paragraph" w:customStyle="1" w:styleId="48">
    <w:name w:val="标准文件_引言二级条标题"/>
    <w:basedOn w:val="35"/>
    <w:next w:val="35"/>
    <w:qFormat/>
    <w:uiPriority w:val="0"/>
    <w:pPr>
      <w:numPr>
        <w:ilvl w:val="2"/>
        <w:numId w:val="1"/>
      </w:numPr>
      <w:spacing w:before="50" w:beforeLines="50" w:after="50" w:afterLines="50"/>
      <w:ind w:firstLine="0" w:firstLineChars="0"/>
    </w:pPr>
    <w:rPr>
      <w:rFonts w:ascii="黑体" w:eastAsia="黑体"/>
    </w:rPr>
  </w:style>
  <w:style w:type="paragraph" w:customStyle="1" w:styleId="49">
    <w:name w:val="标准文件_引言三级条标题"/>
    <w:basedOn w:val="35"/>
    <w:next w:val="35"/>
    <w:qFormat/>
    <w:uiPriority w:val="0"/>
    <w:pPr>
      <w:numPr>
        <w:ilvl w:val="3"/>
        <w:numId w:val="1"/>
      </w:numPr>
      <w:spacing w:before="50" w:beforeLines="50" w:after="50" w:afterLines="50"/>
      <w:ind w:firstLine="0" w:firstLineChars="0"/>
    </w:pPr>
    <w:rPr>
      <w:rFonts w:ascii="黑体" w:eastAsia="黑体"/>
    </w:rPr>
  </w:style>
  <w:style w:type="paragraph" w:customStyle="1" w:styleId="50">
    <w:name w:val="标准文件_引言四级条标题"/>
    <w:basedOn w:val="35"/>
    <w:next w:val="35"/>
    <w:qFormat/>
    <w:uiPriority w:val="0"/>
    <w:pPr>
      <w:numPr>
        <w:ilvl w:val="4"/>
        <w:numId w:val="1"/>
      </w:numPr>
      <w:spacing w:before="50" w:beforeLines="50" w:after="50" w:afterLines="50"/>
      <w:ind w:firstLine="0" w:firstLineChars="0"/>
    </w:pPr>
    <w:rPr>
      <w:rFonts w:ascii="黑体" w:eastAsia="黑体"/>
    </w:rPr>
  </w:style>
  <w:style w:type="paragraph" w:customStyle="1" w:styleId="51">
    <w:name w:val="标准文件_引言五级条标题"/>
    <w:basedOn w:val="35"/>
    <w:next w:val="35"/>
    <w:qFormat/>
    <w:uiPriority w:val="0"/>
    <w:pPr>
      <w:numPr>
        <w:ilvl w:val="5"/>
        <w:numId w:val="1"/>
      </w:numPr>
      <w:spacing w:before="50" w:beforeLines="50" w:after="50" w:afterLines="50"/>
      <w:ind w:firstLine="0" w:firstLineChars="0"/>
    </w:pPr>
    <w:rPr>
      <w:rFonts w:ascii="黑体" w:eastAsia="黑体"/>
    </w:rPr>
  </w:style>
  <w:style w:type="character" w:customStyle="1" w:styleId="52">
    <w:name w:val="发布"/>
    <w:basedOn w:val="16"/>
    <w:qFormat/>
    <w:uiPriority w:val="0"/>
    <w:rPr>
      <w:rFonts w:ascii="黑体" w:eastAsia="黑体"/>
      <w:spacing w:val="85"/>
      <w:w w:val="100"/>
      <w:position w:val="3"/>
      <w:sz w:val="28"/>
      <w:szCs w:val="28"/>
    </w:rPr>
  </w:style>
  <w:style w:type="character" w:customStyle="1" w:styleId="53">
    <w:name w:val="日期 字符"/>
    <w:basedOn w:val="16"/>
    <w:link w:val="7"/>
    <w:semiHidden/>
    <w:qFormat/>
    <w:uiPriority w:val="99"/>
    <w:rPr>
      <w:kern w:val="2"/>
      <w:sz w:val="24"/>
      <w:szCs w:val="24"/>
    </w:rPr>
  </w:style>
  <w:style w:type="paragraph" w:customStyle="1" w:styleId="54">
    <w:name w:val="标准文件_章标题"/>
    <w:next w:val="35"/>
    <w:qFormat/>
    <w:uiPriority w:val="0"/>
    <w:p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55">
    <w:name w:val="标准文件_正文标准名称"/>
    <w:qFormat/>
    <w:uiPriority w:val="0"/>
    <w:pPr>
      <w:spacing w:before="20" w:beforeLines="20" w:after="640" w:line="400" w:lineRule="exact"/>
      <w:jc w:val="center"/>
    </w:pPr>
    <w:rPr>
      <w:rFonts w:ascii="黑体" w:hAnsi="Times New Roman" w:eastAsia="黑体" w:cs="Times New Roman"/>
      <w:kern w:val="2"/>
      <w:sz w:val="32"/>
      <w:szCs w:val="32"/>
      <w:lang w:val="en-US" w:eastAsia="zh-CN" w:bidi="ar-SA"/>
    </w:rPr>
  </w:style>
  <w:style w:type="paragraph" w:customStyle="1" w:styleId="56">
    <w:name w:val="标准文件_一级条标题"/>
    <w:basedOn w:val="54"/>
    <w:next w:val="35"/>
    <w:qFormat/>
    <w:uiPriority w:val="0"/>
    <w:pPr>
      <w:spacing w:before="50" w:beforeLines="50" w:after="50" w:afterLines="50"/>
      <w:outlineLvl w:val="1"/>
    </w:pPr>
  </w:style>
  <w:style w:type="paragraph" w:customStyle="1" w:styleId="57">
    <w:name w:val="标准文件_二级条标题"/>
    <w:next w:val="35"/>
    <w:qFormat/>
    <w:uiPriority w:val="0"/>
    <w:pPr>
      <w:widowControl w:val="0"/>
      <w:spacing w:before="50" w:beforeLines="50" w:after="50" w:afterLines="50"/>
      <w:jc w:val="both"/>
      <w:outlineLvl w:val="2"/>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2.emf"/><Relationship Id="rId26" Type="http://schemas.openxmlformats.org/officeDocument/2006/relationships/package" Target="embeddings/Microsoft_Visio___1.vsdx"/><Relationship Id="rId25" Type="http://schemas.openxmlformats.org/officeDocument/2006/relationships/image" Target="media/image1.tiff"/><Relationship Id="rId24" Type="http://schemas.openxmlformats.org/officeDocument/2006/relationships/theme" Target="theme/theme1.xml"/><Relationship Id="rId23" Type="http://schemas.openxmlformats.org/officeDocument/2006/relationships/footer" Target="foot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header" Target="header7.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E4C9AB-C75D-49E6-8F8E-03FBFAF9FB19}">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25</Pages>
  <Words>10997</Words>
  <Characters>11739</Characters>
  <Lines>143</Lines>
  <Paragraphs>40</Paragraphs>
  <TotalTime>7</TotalTime>
  <ScaleCrop>false</ScaleCrop>
  <LinksUpToDate>false</LinksUpToDate>
  <CharactersWithSpaces>12021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2024-12-30T01:50:00Z</dcterms:created>
  <dc:creator>高敏</dc:creator>
  <cp:lastModifiedBy>赵彬</cp:lastModifiedBy>
  <dcterms:modified xsi:type="dcterms:W3CDTF">2025-05-19T00:14:11Z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1EDF0DF802804548B2A83BDB79DC12EB_12</vt:lpwstr>
  </property>
  <property fmtid="{D5CDD505-2E9C-101B-9397-08002B2CF9AE}" pid="4" name="KSOTemplateDocerSaveRecord">
    <vt:lpwstr>eyJoZGlkIjoiMTk4OWU5ZTQyZWYxMjVmZWE2ZGNkYjU3YzZmMzEyNmIiLCJ1c2VySWQiOiI0Mjg4NjI2MjYifQ==</vt:lpwstr>
  </property>
</Properties>
</file>